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ahoma" w:hAnsi="Tahoma" w:cs="Tahoma"/>
          <w:sz w:val="18"/>
          <w:szCs w:val="18"/>
          <w:u w:val="none" w:color="FF0000"/>
        </w:rPr>
      </w:pPr>
      <w:bookmarkStart w:id="0" w:name="_GoBack"/>
      <w:bookmarkEnd w:id="0"/>
      <w:r>
        <w:rPr>
          <w:rFonts w:cs="Tahoma" w:ascii="Tahoma" w:hAnsi="Tahoma"/>
          <w:sz w:val="18"/>
          <w:szCs w:val="18"/>
          <w:u w:val="none" w:color="FF0000"/>
        </w:rPr>
        <w:t>NOTE COMUNI ALLE TABELLE DEI TRASFERIMENTI A DOMANDA E D’UFFICIO E DEI PASSAGGI DEI DOCENTI DELLE SCUOLE DELL’INFANZIA, PRIMARIA, SECONDARIA DI I GRADO E DEGLI ISTITUTI DI ISTRUZIONE SECONDARIA DI II GRADO ED ARTISTICA E DEL PERSONALE EDUCATIVO</w:t>
      </w:r>
    </w:p>
    <w:p>
      <w:pPr>
        <w:pStyle w:val="Testo"/>
        <w:rPr>
          <w:rFonts w:ascii="Tahoma" w:hAnsi="Tahoma" w:cs="Tahoma"/>
          <w:sz w:val="18"/>
          <w:szCs w:val="18"/>
          <w:u w:val="none" w:color="FF0000"/>
        </w:rPr>
      </w:pPr>
      <w:r>
        <w:rPr>
          <w:rFonts w:cs="Tahoma" w:ascii="Tahoma" w:hAnsi="Tahoma"/>
          <w:sz w:val="18"/>
          <w:szCs w:val="18"/>
          <w:u w:val="none" w:color="FF0000"/>
        </w:rPr>
      </w:r>
    </w:p>
    <w:p>
      <w:pPr>
        <w:pStyle w:val="Testo"/>
        <w:ind w:left="0" w:hanging="0"/>
        <w:rPr>
          <w:rFonts w:ascii="Tahoma" w:hAnsi="Tahoma" w:cs="Tahoma"/>
          <w:sz w:val="18"/>
          <w:szCs w:val="18"/>
          <w:u w:val="none" w:color="FF0000"/>
        </w:rPr>
      </w:pPr>
      <w:r>
        <w:rPr>
          <w:rFonts w:cs="Tahoma" w:ascii="Tahoma" w:hAnsi="Tahoma"/>
          <w:sz w:val="18"/>
          <w:szCs w:val="18"/>
          <w:u w:val="none" w:color="FF0000"/>
        </w:rPr>
        <w:t>P R E M E S S A</w:t>
      </w:r>
    </w:p>
    <w:p>
      <w:pPr>
        <w:pStyle w:val="Testo"/>
        <w:rPr>
          <w:rFonts w:ascii="Tahoma" w:hAnsi="Tahoma" w:cs="Tahoma"/>
          <w:sz w:val="18"/>
          <w:szCs w:val="18"/>
          <w:u w:val="none" w:color="FF0000"/>
        </w:rPr>
      </w:pPr>
      <w:r>
        <w:rPr>
          <w:rFonts w:cs="Tahoma" w:ascii="Tahoma" w:hAnsi="Tahoma"/>
          <w:sz w:val="18"/>
          <w:szCs w:val="18"/>
          <w:u w:val="none" w:color="FF0000"/>
        </w:rPr>
      </w:r>
    </w:p>
    <w:p>
      <w:pPr>
        <w:pStyle w:val="Testo"/>
        <w:ind w:left="0" w:hanging="0"/>
        <w:rPr>
          <w:rFonts w:ascii="Tahoma" w:hAnsi="Tahoma" w:cs="Tahoma"/>
          <w:sz w:val="18"/>
          <w:szCs w:val="18"/>
          <w:u w:val="none" w:color="FF0000"/>
        </w:rPr>
      </w:pPr>
      <w:r>
        <w:rPr>
          <w:rFonts w:cs="Tahoma" w:ascii="Tahoma" w:hAnsi="Tahoma"/>
          <w:sz w:val="18"/>
          <w:szCs w:val="18"/>
          <w:u w:val="none" w:color="FF0000"/>
        </w:rPr>
        <w:t>Ai fini dell’attribuzione del punteggio per le domande di trasferimento, per le domande di passaggio di ruolo e per l’individuazione del perdente posto si precisa quanto segue:</w:t>
      </w:r>
    </w:p>
    <w:p>
      <w:pPr>
        <w:pStyle w:val="Testo"/>
        <w:rPr>
          <w:rFonts w:ascii="Tahoma" w:hAnsi="Tahoma" w:cs="Tahoma"/>
          <w:sz w:val="18"/>
          <w:szCs w:val="18"/>
          <w:u w:val="none" w:color="FF0000"/>
        </w:rPr>
      </w:pPr>
      <w:r>
        <w:rPr>
          <w:rFonts w:cs="Tahoma" w:ascii="Tahoma" w:hAnsi="Tahoma"/>
          <w:sz w:val="18"/>
          <w:szCs w:val="18"/>
          <w:u w:val="none" w:color="FF0000"/>
        </w:rPr>
        <w:t>- nell’anzianità di servizio non si tiene conto dell’anno scolastico in corso;</w:t>
      </w:r>
    </w:p>
    <w:p>
      <w:pPr>
        <w:pStyle w:val="Testo"/>
        <w:rPr>
          <w:rFonts w:ascii="Tahoma" w:hAnsi="Tahoma" w:cs="Tahoma"/>
          <w:sz w:val="18"/>
          <w:szCs w:val="18"/>
          <w:u w:val="none" w:color="FF0000"/>
        </w:rPr>
      </w:pPr>
      <w:r>
        <w:rPr>
          <w:rFonts w:cs="Tahoma" w:ascii="Tahoma" w:hAnsi="Tahoma"/>
          <w:sz w:val="18"/>
          <w:szCs w:val="18"/>
          <w:u w:val="none" w:color="FF0000"/>
        </w:rPr>
        <w:t>- nella valutazione dei titoli vengono considerati quelli posseduti entro il termine previsto per la presentazione delle domande dall’annuale O.M.;</w:t>
      </w:r>
    </w:p>
    <w:p>
      <w:pPr>
        <w:pStyle w:val="Testo"/>
        <w:rPr>
          <w:rFonts w:ascii="Tahoma" w:hAnsi="Tahoma" w:cs="Tahoma"/>
          <w:sz w:val="18"/>
          <w:szCs w:val="18"/>
          <w:u w:val="none" w:color="FF0000"/>
        </w:rPr>
      </w:pPr>
      <w:r>
        <w:rPr>
          <w:rFonts w:cs="Tahoma" w:ascii="Tahoma" w:hAnsi="Tahoma"/>
          <w:sz w:val="18"/>
          <w:szCs w:val="18"/>
          <w:u w:val="none" w:color="FF0000"/>
        </w:rPr>
        <w:t>- nella valutazione delle esigenze di famiglia (per i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L’anzianità di servizio di cui alle lettere A) e B) del punto I della tabella deve essere attestata dall'interessato, con apposita dichiarazione personale </w:t>
      </w:r>
      <w:r>
        <w:rPr>
          <w:rFonts w:cs="Tahoma" w:ascii="Tahoma" w:hAnsi="Tahoma"/>
          <w:sz w:val="18"/>
          <w:szCs w:val="18"/>
        </w:rPr>
        <w:t>Non interrompe la maturazione del punteggio del servizio la fruizione del congedo biennale per l’assistenza a familiari con grave disabilità di cui agli artt. 32, 33 e 34 comma 5 del D.L.vo n. 151/2001.</w:t>
      </w:r>
      <w:r>
        <w:rPr>
          <w:rFonts w:cs="Tahoma" w:ascii="Tahoma" w:hAnsi="Tahoma"/>
          <w:sz w:val="18"/>
          <w:szCs w:val="18"/>
          <w:u w:val="none" w:color="FF0000"/>
        </w:rPr>
        <w:t xml:space="preserve">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pPr>
        <w:pStyle w:val="Testo"/>
        <w:ind w:left="0" w:hanging="0"/>
        <w:rPr>
          <w:rFonts w:ascii="Tahoma" w:hAnsi="Tahoma" w:cs="Tahoma"/>
          <w:bCs/>
          <w:strike/>
          <w:sz w:val="18"/>
          <w:szCs w:val="18"/>
          <w:u w:val="none" w:color="FF0000"/>
        </w:rPr>
      </w:pPr>
      <w:r>
        <w:rPr>
          <w:rFonts w:cs="Tahoma" w:ascii="Tahoma" w:hAnsi="Tahoma"/>
          <w:sz w:val="18"/>
          <w:szCs w:val="18"/>
          <w:u w:val="none"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Pr>
          <w:rFonts w:cs="Tahoma" w:ascii="Tahoma" w:hAnsi="Tahoma"/>
          <w:bCs/>
          <w:sz w:val="18"/>
          <w:szCs w:val="18"/>
          <w:u w:val="none" w:color="FF0000"/>
        </w:rPr>
        <w:t>ed i</w:t>
      </w:r>
      <w:r>
        <w:rPr>
          <w:rFonts w:cs="Tahoma" w:ascii="Tahoma" w:hAnsi="Tahoma"/>
          <w:sz w:val="18"/>
          <w:szCs w:val="18"/>
          <w:u w:val="none" w:color="FF0000"/>
        </w:rPr>
        <w:t xml:space="preserve"> </w:t>
      </w:r>
      <w:r>
        <w:rPr>
          <w:rFonts w:cs="Tahoma" w:ascii="Tahoma" w:hAnsi="Tahoma"/>
          <w:bCs/>
          <w:sz w:val="18"/>
          <w:szCs w:val="18"/>
          <w:u w:val="none"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Pr>
          <w:rFonts w:cs="Tahoma" w:ascii="Tahoma" w:hAnsi="Tahoma"/>
          <w:bCs/>
          <w:strike/>
          <w:sz w:val="18"/>
          <w:szCs w:val="18"/>
          <w:u w:val="none" w:color="FF0000"/>
        </w:rPr>
        <w:t xml:space="preserve"> </w:t>
      </w:r>
      <w:r>
        <w:rPr>
          <w:rFonts w:cs="Tahoma" w:ascii="Tahoma" w:hAnsi="Tahoma"/>
          <w:bCs/>
          <w:sz w:val="18"/>
          <w:szCs w:val="18"/>
          <w:u w:val="none" w:color="FF0000"/>
        </w:rPr>
        <w:t>devono essere debitamente certificati dall’Autorità diplomatica italiana nello Stato estero</w:t>
      </w:r>
    </w:p>
    <w:p>
      <w:pPr>
        <w:pStyle w:val="Testo"/>
        <w:ind w:left="0" w:hanging="0"/>
        <w:rPr>
          <w:rFonts w:ascii="Tahoma" w:hAnsi="Tahoma" w:cs="Tahoma"/>
          <w:sz w:val="18"/>
          <w:szCs w:val="18"/>
          <w:u w:val="none" w:color="FF0000"/>
        </w:rPr>
      </w:pPr>
      <w:r>
        <w:rPr>
          <w:rFonts w:cs="Tahoma" w:ascii="Tahoma" w:hAnsi="Tahoma"/>
          <w:sz w:val="18"/>
          <w:szCs w:val="18"/>
          <w:u w:val="none"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pPr>
        <w:pStyle w:val="Testo"/>
        <w:ind w:left="0" w:hanging="0"/>
        <w:rPr>
          <w:rFonts w:ascii="Tahoma" w:hAnsi="Tahoma" w:cs="Tahoma"/>
          <w:sz w:val="18"/>
          <w:szCs w:val="18"/>
          <w:u w:val="none" w:color="FF0000"/>
        </w:rPr>
      </w:pPr>
      <w:r>
        <w:rPr>
          <w:rFonts w:cs="Tahoma" w:ascii="Tahoma" w:hAnsi="Tahoma"/>
          <w:sz w:val="18"/>
          <w:szCs w:val="18"/>
          <w:u w:val="none" w:color="FF0000"/>
        </w:rPr>
        <w:t>La valutazione del servizio di cui alle lettere A), A1) e B) è riconosciuta anche al personale proveniente dagli Enti Locali e che abbia svolto, prima del trasferimento allo Stato, effettivo servizio di docente nelle scuole statali.</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Per gli insegnanti di educazione fisica non è riconoscibile il servizio prestato senza il possesso del diploma rilasciato dall'I.S.E.F. o di titoli equipollenti secondo l'ordinamento anteriore alla legge 7.2.1958, n. 88 (tab. A, </w:t>
      </w:r>
      <w:r>
        <w:rPr>
          <w:rFonts w:cs="Tahoma" w:ascii="Tahoma" w:hAnsi="Tahoma"/>
          <w:sz w:val="18"/>
          <w:szCs w:val="18"/>
        </w:rPr>
        <w:t xml:space="preserve">classe A029 e A 030 </w:t>
      </w:r>
      <w:r>
        <w:rPr>
          <w:rFonts w:cs="Tahoma" w:ascii="Tahoma" w:hAnsi="Tahoma"/>
          <w:sz w:val="18"/>
          <w:szCs w:val="18"/>
          <w:u w:val="none" w:color="FF0000"/>
        </w:rPr>
        <w:t xml:space="preserve">D.M. 30.1.1998 n. 39 e successive modifiche). </w:t>
      </w:r>
    </w:p>
    <w:p>
      <w:pPr>
        <w:pStyle w:val="Testo"/>
        <w:ind w:left="0" w:hanging="0"/>
        <w:rPr>
          <w:rFonts w:ascii="Tahoma" w:hAnsi="Tahoma" w:cs="Tahoma"/>
          <w:sz w:val="18"/>
          <w:szCs w:val="18"/>
          <w:u w:val="none" w:color="FF0000"/>
        </w:rPr>
      </w:pPr>
      <w:r>
        <w:rPr>
          <w:rFonts w:cs="Tahoma" w:ascii="Tahoma" w:hAnsi="Tahoma"/>
          <w:sz w:val="18"/>
          <w:szCs w:val="18"/>
          <w:u w:val="none" w:color="FF0000"/>
        </w:rPr>
        <w:t>La valutazione degli anni del servizio pre-ruolo nella mobilità a domanda viene effettuata per intero (6 punti per ogni anno). Nella mobilità d’ufficio viene effettuata nella seguente maniera:- i primi 4 anni sono valutati 3 punti per ogni anno - il periodo eccedente i 4 anni è valutato per i 2/3 (due punti per ogni anno).</w:t>
      </w:r>
    </w:p>
    <w:p>
      <w:pPr>
        <w:pStyle w:val="Testo"/>
        <w:ind w:left="0" w:hanging="0"/>
        <w:rPr>
          <w:rFonts w:ascii="Tahoma" w:hAnsi="Tahoma" w:cs="Tahoma"/>
          <w:sz w:val="18"/>
          <w:szCs w:val="18"/>
          <w:u w:val="none" w:color="FF0000"/>
        </w:rPr>
      </w:pPr>
      <w:r>
        <w:rPr>
          <w:rFonts w:cs="Tahoma" w:ascii="Tahoma" w:hAnsi="Tahoma"/>
          <w:sz w:val="18"/>
          <w:szCs w:val="18"/>
          <w:u w:val="none"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pPr>
        <w:pStyle w:val="Testo"/>
        <w:pBdr>
          <w:top w:val="single" w:sz="4" w:space="1" w:color="000000"/>
          <w:left w:val="single" w:sz="4" w:space="4" w:color="000000"/>
          <w:bottom w:val="single" w:sz="4" w:space="1" w:color="000000"/>
          <w:right w:val="single" w:sz="4" w:space="4" w:color="000000"/>
        </w:pBdr>
        <w:ind w:left="0" w:hanging="0"/>
        <w:rPr>
          <w:rFonts w:ascii="Tahoma" w:hAnsi="Tahoma" w:cs="Tahoma"/>
          <w:sz w:val="18"/>
          <w:szCs w:val="18"/>
          <w:u w:val="none" w:color="FF0000"/>
        </w:rPr>
      </w:pPr>
      <w:r>
        <w:rPr>
          <w:rFonts w:cs="Tahoma" w:ascii="Tahoma" w:hAnsi="Tahoma"/>
          <w:sz w:val="18"/>
          <w:szCs w:val="18"/>
          <w:u w:val="none" w:color="FF0000"/>
        </w:rPr>
        <w:t xml:space="preserve">primi 4 anni  (valutati per intero)        </w:t>
      </w:r>
      <w:r>
        <w:rPr>
          <w:rFonts w:eastAsia="Symbol" w:cs="Symbol" w:ascii="Symbol" w:hAnsi="Symbol"/>
          <w:sz w:val="18"/>
          <w:szCs w:val="18"/>
          <w:u w:val="none" w:color="FF0000"/>
        </w:rPr>
        <w:t>Þ</w:t>
      </w:r>
      <w:r>
        <w:rPr>
          <w:rFonts w:cs="Tahoma" w:ascii="Tahoma" w:hAnsi="Tahoma"/>
          <w:sz w:val="18"/>
          <w:szCs w:val="18"/>
          <w:u w:val="none" w:color="FF0000"/>
        </w:rPr>
        <w:t xml:space="preserve">            4 anni  x 3 punti  = 12 punti</w:t>
      </w:r>
    </w:p>
    <w:p>
      <w:pPr>
        <w:pStyle w:val="Testo"/>
        <w:pBdr>
          <w:top w:val="single" w:sz="4" w:space="1" w:color="000000"/>
          <w:left w:val="single" w:sz="4" w:space="4" w:color="000000"/>
          <w:bottom w:val="single" w:sz="4" w:space="1" w:color="000000"/>
          <w:right w:val="single" w:sz="4" w:space="4" w:color="000000"/>
        </w:pBdr>
        <w:ind w:left="0" w:hanging="0"/>
        <w:rPr>
          <w:rFonts w:ascii="Tahoma" w:hAnsi="Tahoma" w:cs="Tahoma"/>
          <w:sz w:val="18"/>
          <w:szCs w:val="18"/>
          <w:u w:val="none" w:color="FF0000"/>
        </w:rPr>
      </w:pPr>
      <w:r>
        <w:rPr>
          <w:rFonts w:cs="Tahoma" w:ascii="Tahoma" w:hAnsi="Tahoma"/>
          <w:sz w:val="18"/>
          <w:szCs w:val="18"/>
          <w:u w:val="none" w:color="FF0000"/>
        </w:rPr>
        <w:t xml:space="preserve">rimanenti  2 anni (valutati due terzi)   </w:t>
      </w:r>
      <w:r>
        <w:rPr>
          <w:rFonts w:eastAsia="Symbol" w:cs="Symbol" w:ascii="Symbol" w:hAnsi="Symbol"/>
          <w:sz w:val="18"/>
          <w:szCs w:val="18"/>
          <w:u w:val="none" w:color="FF0000"/>
        </w:rPr>
        <w:t>Þ</w:t>
      </w:r>
      <w:r>
        <w:rPr>
          <w:rFonts w:cs="Tahoma" w:ascii="Tahoma" w:hAnsi="Tahoma"/>
          <w:sz w:val="18"/>
          <w:szCs w:val="18"/>
          <w:u w:val="none" w:color="FF0000"/>
        </w:rPr>
        <w:t xml:space="preserve">    2/3 x 2 anni x 3 punti  =  4  punti</w:t>
      </w:r>
    </w:p>
    <w:p>
      <w:pPr>
        <w:pStyle w:val="Testo"/>
        <w:pBdr>
          <w:top w:val="single" w:sz="4" w:space="1" w:color="000000"/>
          <w:left w:val="single" w:sz="4" w:space="4" w:color="000000"/>
          <w:bottom w:val="single" w:sz="4" w:space="1" w:color="000000"/>
          <w:right w:val="single" w:sz="4" w:space="4" w:color="000000"/>
        </w:pBdr>
        <w:ind w:left="0" w:hanging="0"/>
        <w:rPr>
          <w:rFonts w:ascii="Tahoma" w:hAnsi="Tahoma" w:cs="Tahoma"/>
          <w:sz w:val="18"/>
          <w:szCs w:val="18"/>
          <w:u w:val="none" w:color="FF0000"/>
        </w:rPr>
      </w:pPr>
      <w:r>
        <w:rPr>
          <w:rFonts w:cs="Tahoma" w:ascii="Tahoma" w:hAnsi="Tahoma"/>
          <w:sz w:val="18"/>
          <w:szCs w:val="18"/>
          <w:u w:val="none" w:color="FF0000"/>
        </w:rPr>
        <w:t>______</w:t>
      </w:r>
    </w:p>
    <w:p>
      <w:pPr>
        <w:pStyle w:val="Testo"/>
        <w:pBdr>
          <w:top w:val="single" w:sz="4" w:space="1" w:color="000000"/>
          <w:left w:val="single" w:sz="4" w:space="4" w:color="000000"/>
          <w:bottom w:val="single" w:sz="4" w:space="1" w:color="000000"/>
          <w:right w:val="single" w:sz="4" w:space="4" w:color="000000"/>
        </w:pBdr>
        <w:ind w:left="0" w:hanging="0"/>
        <w:rPr>
          <w:rFonts w:ascii="Tahoma" w:hAnsi="Tahoma" w:cs="Tahoma"/>
          <w:sz w:val="18"/>
          <w:szCs w:val="18"/>
          <w:u w:val="none" w:color="FF0000"/>
        </w:rPr>
      </w:pPr>
      <w:r>
        <w:rPr>
          <w:rFonts w:cs="Tahoma" w:ascii="Tahoma" w:hAnsi="Tahoma"/>
          <w:sz w:val="18"/>
          <w:szCs w:val="18"/>
          <w:u w:val="none" w:color="FF0000"/>
        </w:rPr>
        <w:t xml:space="preserve">totale:     12 punti  + 4 punti                </w:t>
      </w:r>
      <w:r>
        <w:rPr>
          <w:rFonts w:eastAsia="Symbol" w:cs="Symbol" w:ascii="Symbol" w:hAnsi="Symbol"/>
          <w:sz w:val="18"/>
          <w:szCs w:val="18"/>
          <w:u w:val="none" w:color="FF0000"/>
        </w:rPr>
        <w:t>Þ</w:t>
      </w:r>
      <w:r>
        <w:rPr>
          <w:rFonts w:cs="Tahoma" w:ascii="Tahoma" w:hAnsi="Tahoma"/>
          <w:sz w:val="18"/>
          <w:szCs w:val="18"/>
          <w:u w:val="none" w:color="FF0000"/>
        </w:rPr>
        <w:t xml:space="preserve">                                           16 punti.</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pPr>
        <w:pStyle w:val="Testo"/>
        <w:ind w:left="0" w:hanging="0"/>
        <w:rPr>
          <w:rFonts w:ascii="Tahoma" w:hAnsi="Tahoma" w:cs="Tahoma"/>
          <w:strike/>
          <w:sz w:val="18"/>
          <w:szCs w:val="18"/>
          <w:u w:val="none" w:color="FF0000"/>
        </w:rPr>
      </w:pPr>
      <w:r>
        <w:rPr>
          <w:rFonts w:cs="Tahoma" w:ascii="Tahoma" w:hAnsi="Tahoma"/>
          <w:sz w:val="18"/>
          <w:szCs w:val="18"/>
          <w:u w:val="none"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pPr>
        <w:pStyle w:val="Testo"/>
        <w:ind w:left="0" w:hanging="0"/>
        <w:rPr>
          <w:rFonts w:ascii="Tahoma" w:hAnsi="Tahoma" w:cs="Tahoma"/>
          <w:sz w:val="18"/>
          <w:szCs w:val="18"/>
          <w:u w:val="none" w:color="FF0000"/>
        </w:rPr>
      </w:pPr>
      <w:r>
        <w:rPr>
          <w:rFonts w:cs="Tahoma" w:ascii="Tahoma" w:hAnsi="Tahoma"/>
          <w:sz w:val="18"/>
          <w:szCs w:val="18"/>
          <w:u w:val="none"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pPr>
        <w:pStyle w:val="Testo"/>
        <w:ind w:left="0" w:hanging="0"/>
        <w:rPr>
          <w:rFonts w:ascii="Tahoma" w:hAnsi="Tahoma" w:cs="Tahoma"/>
          <w:sz w:val="18"/>
          <w:szCs w:val="18"/>
          <w:u w:val="none" w:color="FF0000"/>
        </w:rPr>
      </w:pPr>
      <w:r>
        <w:rPr>
          <w:rFonts w:cs="Tahoma" w:ascii="Tahoma" w:hAnsi="Tahoma"/>
          <w:sz w:val="18"/>
          <w:szCs w:val="18"/>
          <w:u w:val="none" w:color="FF0000"/>
        </w:rPr>
        <w:t>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Il servizio prestato nelle scuole paritarie non è valutabile in quanto non riconoscibile ai fini della ricostruzione di carriera.  E’ fatto salvo il riconoscimento del servizio prestato: </w:t>
      </w:r>
    </w:p>
    <w:p>
      <w:pPr>
        <w:pStyle w:val="Testo"/>
        <w:numPr>
          <w:ilvl w:val="0"/>
          <w:numId w:val="2"/>
        </w:numPr>
        <w:rPr>
          <w:rFonts w:ascii="Tahoma" w:hAnsi="Tahoma" w:cs="Tahoma"/>
          <w:sz w:val="18"/>
          <w:szCs w:val="18"/>
          <w:u w:val="none" w:color="FF0000"/>
        </w:rPr>
      </w:pPr>
      <w:r>
        <w:rPr>
          <w:rFonts w:cs="Tahoma" w:ascii="Tahoma" w:hAnsi="Tahoma"/>
          <w:sz w:val="18"/>
          <w:szCs w:val="18"/>
          <w:u w:val="none" w:color="FF0000"/>
        </w:rPr>
        <w:t>fino al 31.8.2008 nelle scuole paritarie primarie che abbiano mantenuto lo status di parificate congiuntamente a quello di paritarie</w:t>
      </w:r>
    </w:p>
    <w:p>
      <w:pPr>
        <w:pStyle w:val="Testo"/>
        <w:numPr>
          <w:ilvl w:val="0"/>
          <w:numId w:val="2"/>
        </w:numPr>
        <w:rPr>
          <w:rFonts w:ascii="Tahoma" w:hAnsi="Tahoma" w:cs="Tahoma"/>
          <w:sz w:val="18"/>
          <w:szCs w:val="18"/>
          <w:u w:val="none" w:color="FF0000"/>
        </w:rPr>
      </w:pPr>
      <w:r>
        <w:rPr>
          <w:rFonts w:cs="Tahoma" w:ascii="Tahoma" w:hAnsi="Tahoma"/>
          <w:sz w:val="18"/>
          <w:szCs w:val="18"/>
          <w:u w:val="none" w:color="FF0000"/>
        </w:rPr>
        <w:t xml:space="preserve">nelle scuole paritarie dell’infanzia comunali </w:t>
      </w:r>
    </w:p>
    <w:p>
      <w:pPr>
        <w:pStyle w:val="Testo"/>
        <w:numPr>
          <w:ilvl w:val="0"/>
          <w:numId w:val="2"/>
        </w:numPr>
        <w:rPr>
          <w:rFonts w:ascii="Tahoma" w:hAnsi="Tahoma" w:cs="Tahoma"/>
          <w:sz w:val="18"/>
          <w:szCs w:val="18"/>
          <w:u w:val="none" w:color="FF0000"/>
        </w:rPr>
      </w:pPr>
      <w:r>
        <w:rPr>
          <w:rFonts w:cs="Tahoma" w:ascii="Tahoma" w:hAnsi="Tahoma"/>
          <w:sz w:val="18"/>
          <w:szCs w:val="18"/>
          <w:u w:val="none" w:color="FF0000"/>
        </w:rPr>
        <w:t>nelle scuole secondarie pareggiate (art. 360 del T.U.).</w:t>
      </w:r>
    </w:p>
    <w:p>
      <w:pPr>
        <w:pStyle w:val="Testo"/>
        <w:ind w:left="0" w:hanging="0"/>
        <w:rPr>
          <w:rFonts w:ascii="Tahoma" w:hAnsi="Tahoma" w:cs="Tahoma"/>
          <w:sz w:val="18"/>
          <w:szCs w:val="18"/>
          <w:u w:val="none" w:color="FF0000"/>
        </w:rPr>
      </w:pPr>
      <w:r>
        <w:rPr>
          <w:rFonts w:cs="Tahoma" w:ascii="Tahoma" w:hAnsi="Tahoma"/>
          <w:sz w:val="18"/>
          <w:szCs w:val="18"/>
          <w:u w:val="none" w:color="FF0000"/>
        </w:rPr>
      </w:r>
    </w:p>
    <w:p>
      <w:pPr>
        <w:pStyle w:val="Testo"/>
        <w:ind w:left="0" w:hanging="0"/>
        <w:rPr>
          <w:rFonts w:ascii="Tahoma" w:hAnsi="Tahoma" w:cs="Tahoma"/>
          <w:sz w:val="18"/>
          <w:szCs w:val="18"/>
          <w:u w:val="none" w:color="FF0000"/>
        </w:rPr>
      </w:pPr>
      <w:r>
        <w:rPr>
          <w:rFonts w:cs="Tahoma" w:ascii="Tahoma" w:hAnsi="Tahoma"/>
          <w:sz w:val="18"/>
          <w:szCs w:val="18"/>
          <w:u w:val="none" w:color="FF0000"/>
        </w:rPr>
        <w:t>N O T E</w:t>
      </w:r>
    </w:p>
    <w:p>
      <w:pPr>
        <w:pStyle w:val="Testo"/>
        <w:ind w:left="0" w:hanging="0"/>
        <w:rPr>
          <w:rFonts w:ascii="Tahoma" w:hAnsi="Tahoma" w:cs="Tahoma"/>
          <w:color w:val="000000"/>
          <w:sz w:val="18"/>
          <w:szCs w:val="18"/>
        </w:rPr>
      </w:pPr>
      <w:r>
        <w:rPr>
          <w:rFonts w:cs="Tahoma" w:ascii="Tahoma" w:hAnsi="Tahoma"/>
          <w:sz w:val="18"/>
          <w:szCs w:val="18"/>
          <w:u w:val="none" w:color="FF0000"/>
        </w:rPr>
        <w:t xml:space="preserve">(1) Il ruolo di appartenenza va riferito rispettivamente: a) alla scuola dell’infanzia; b) alla scuola primaria; c) alla scuola secondaria di I grado; d) agli istituti di istruzione secondaria di II grado e artistica. </w:t>
      </w:r>
    </w:p>
    <w:p>
      <w:pPr>
        <w:pStyle w:val="Testo"/>
        <w:ind w:left="0" w:hanging="0"/>
        <w:rPr>
          <w:rFonts w:ascii="Tahoma" w:hAnsi="Tahoma" w:cs="Tahoma"/>
          <w:sz w:val="18"/>
          <w:szCs w:val="18"/>
          <w:u w:val="none" w:color="FF0000"/>
        </w:rPr>
      </w:pPr>
      <w:r>
        <w:rPr>
          <w:rFonts w:cs="Tahoma" w:ascii="Tahoma" w:hAnsi="Tahoma"/>
          <w:sz w:val="18"/>
          <w:szCs w:val="18"/>
          <w:u w:val="none" w:color="FF0000"/>
        </w:rPr>
        <w:t>Va valutato nella misura prevista dalla presente voce il servizio prestato, a decorrere dall'anno scolastico 1978/79, dalle assistenti di scuola materna statale utilizzate, ai sensi dell'articolo 8 della legge n. 463/78, come insegnanti di scuola materna.</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pPr>
        <w:pStyle w:val="Testo"/>
        <w:ind w:left="0" w:hanging="0"/>
        <w:rPr>
          <w:rFonts w:ascii="Tahoma" w:hAnsi="Tahoma" w:cs="Tahoma"/>
          <w:sz w:val="18"/>
          <w:szCs w:val="18"/>
          <w:u w:val="none" w:color="FF0000"/>
        </w:rPr>
      </w:pPr>
      <w:r>
        <w:rPr>
          <w:rFonts w:cs="Tahoma" w:ascii="Tahoma" w:hAnsi="Tahoma"/>
          <w:sz w:val="18"/>
          <w:szCs w:val="18"/>
          <w:u w:val="none"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pPr>
        <w:pStyle w:val="Testo"/>
        <w:ind w:left="0" w:hanging="0"/>
        <w:rPr>
          <w:rFonts w:ascii="Tahoma" w:hAnsi="Tahoma" w:cs="Tahoma"/>
          <w:sz w:val="18"/>
          <w:szCs w:val="18"/>
          <w:u w:val="none" w:color="FF0000"/>
        </w:rPr>
      </w:pPr>
      <w:r>
        <w:rPr>
          <w:rFonts w:cs="Tahoma" w:ascii="Tahoma" w:hAnsi="Tahoma"/>
          <w:sz w:val="18"/>
          <w:szCs w:val="18"/>
          <w:u w:val="none" w:color="FF0000"/>
        </w:rPr>
        <w:t>Relativamente ai docenti delle scuole primarie, per ogni anno di insegnamento</w:t>
      </w:r>
      <w:r>
        <w:rPr>
          <w:rFonts w:cs="Tahoma" w:ascii="Tahoma" w:hAnsi="Tahoma"/>
          <w:strike/>
          <w:sz w:val="18"/>
          <w:szCs w:val="18"/>
          <w:u w:val="none" w:color="FF0000"/>
        </w:rPr>
        <w:t xml:space="preserve"> </w:t>
      </w:r>
      <w:r>
        <w:rPr>
          <w:rFonts w:cs="Tahoma" w:ascii="Tahoma" w:hAnsi="Tahoma"/>
          <w:sz w:val="18"/>
          <w:szCs w:val="18"/>
          <w:u w:val="none" w:color="FF0000"/>
        </w:rPr>
        <w:t>nelle scuola di montagna ai sensi della legge 1/3/1957, n. 90, il punteggio è raddoppiato. Per l'attribuzione del punteggio si prescinde dal requisito della residenza in sede. Per ogni anno di servizio prestato nei paesi in via di sviluppo il punteggio è raddoppiato.</w:t>
      </w:r>
    </w:p>
    <w:p>
      <w:pPr>
        <w:pStyle w:val="Testo"/>
        <w:ind w:left="0" w:hanging="0"/>
        <w:rPr>
          <w:rFonts w:ascii="Tahoma" w:hAnsi="Tahoma" w:cs="Tahoma"/>
          <w:sz w:val="18"/>
          <w:szCs w:val="18"/>
          <w:u w:val="none" w:color="FF0000"/>
        </w:rPr>
      </w:pPr>
      <w:r>
        <w:rPr>
          <w:rFonts w:cs="Tahoma" w:ascii="Tahoma" w:hAnsi="Tahoma"/>
          <w:sz w:val="18"/>
          <w:szCs w:val="18"/>
          <w:u w:val="none"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(3) La dizione “piccole isole” è comprensiva di tutte le isole del territorio italiano, ad eccezione, ovviamente, delle due isole maggiori (Sicilia e Sardegna).Il punteggio aggiuntivo previsto per il servizio prestato nelle piccole isole è attribuito indipendentemente dal luogo di residenza dell’interessato. </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w:t>
      </w:r>
      <w:r>
        <w:rPr>
          <w:rFonts w:cs="Tahoma" w:ascii="Tahoma" w:hAnsi="Tahoma"/>
          <w:sz w:val="18"/>
          <w:szCs w:val="18"/>
        </w:rPr>
        <w:t xml:space="preserve">Il servizio pre ruolo ai fini della compilazione della graduatorie interne per l’individuazione del perdente posto continua ad essere valutato 3 </w:t>
      </w:r>
      <w:r>
        <w:rPr>
          <w:rFonts w:cs="Tahoma" w:ascii="Tahoma" w:hAnsi="Tahoma"/>
          <w:sz w:val="18"/>
          <w:szCs w:val="18"/>
          <w:u w:val="none" w:color="FF0000"/>
        </w:rPr>
        <w:t>punti per i primi quattro anni e 2 per i successivi.</w:t>
      </w:r>
      <w:r>
        <w:rPr>
          <w:rFonts w:cs="Tahoma" w:ascii="Tahoma" w:hAnsi="Tahoma"/>
          <w:color w:val="FF0000"/>
          <w:sz w:val="18"/>
          <w:szCs w:val="18"/>
          <w:u w:val="none" w:color="FF0000"/>
        </w:rPr>
        <w:t xml:space="preserve"> </w:t>
      </w:r>
      <w:r>
        <w:rPr>
          <w:rFonts w:cs="Tahoma" w:ascii="Tahoma" w:hAnsi="Tahoma"/>
          <w:sz w:val="18"/>
          <w:szCs w:val="18"/>
          <w:u w:val="none" w:color="FF0000"/>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pPr>
        <w:pStyle w:val="Testo"/>
        <w:ind w:left="0" w:hanging="0"/>
        <w:rPr>
          <w:rFonts w:ascii="Tahoma" w:hAnsi="Tahoma" w:cs="Tahoma"/>
          <w:sz w:val="18"/>
          <w:szCs w:val="18"/>
          <w:u w:val="none" w:color="FF0000"/>
        </w:rPr>
      </w:pPr>
      <w:r>
        <w:rPr>
          <w:rFonts w:cs="Tahoma" w:ascii="Tahoma" w:hAnsi="Tahoma"/>
          <w:sz w:val="18"/>
          <w:szCs w:val="18"/>
          <w:u w:val="none" w:color="FF0000"/>
        </w:rPr>
        <w:t>(5)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Pr>
          <w:rFonts w:cs="Tahoma" w:ascii="Tahoma" w:hAnsi="Tahoma"/>
          <w:color w:val="FF0000"/>
          <w:sz w:val="18"/>
          <w:szCs w:val="18"/>
          <w:u w:val="none" w:color="FF0000"/>
        </w:rPr>
        <w:t xml:space="preserve"> </w:t>
      </w:r>
      <w:r>
        <w:rPr>
          <w:rFonts w:cs="Tahoma" w:ascii="Tahoma" w:hAnsi="Tahoma"/>
          <w:sz w:val="18"/>
          <w:szCs w:val="18"/>
          <w:u w:val="none" w:color="FF0000"/>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w:t>
      </w:r>
      <w:r>
        <w:rPr>
          <w:rFonts w:cs="Tahoma" w:ascii="Tahoma" w:hAnsi="Tahoma"/>
          <w:sz w:val="18"/>
          <w:szCs w:val="18"/>
        </w:rPr>
        <w:t>corsi serali</w:t>
      </w:r>
      <w:r>
        <w:rPr>
          <w:rFonts w:cs="Tahoma" w:ascii="Tahoma" w:hAnsi="Tahoma"/>
          <w:sz w:val="18"/>
          <w:szCs w:val="18"/>
          <w:u w:val="none" w:color="FF0000"/>
        </w:rPr>
        <w:t xml:space="preserve">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pPr>
        <w:pStyle w:val="Testo"/>
        <w:ind w:left="0" w:hanging="0"/>
        <w:rPr>
          <w:rFonts w:ascii="Tahoma" w:hAnsi="Tahoma" w:cs="Tahoma"/>
          <w:sz w:val="18"/>
          <w:szCs w:val="18"/>
          <w:u w:val="none" w:color="FF0000"/>
        </w:rPr>
      </w:pPr>
      <w:r>
        <w:rPr>
          <w:rFonts w:cs="Tahoma" w:ascii="Tahoma" w:hAnsi="Tahoma"/>
          <w:sz w:val="18"/>
          <w:szCs w:val="18"/>
          <w:u w:val="none" w:color="FF0000"/>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tbl>
      <w:tblPr>
        <w:tblW w:w="9001" w:type="dxa"/>
        <w:jc w:val="left"/>
        <w:tblInd w:w="0" w:type="dxa"/>
        <w:tblLayout w:type="fixed"/>
        <w:tblCellMar>
          <w:top w:w="0" w:type="dxa"/>
          <w:left w:w="70" w:type="dxa"/>
          <w:bottom w:w="0" w:type="dxa"/>
          <w:right w:w="70" w:type="dxa"/>
        </w:tblCellMar>
        <w:tblLook w:val="0000"/>
      </w:tblPr>
      <w:tblGrid>
        <w:gridCol w:w="7583"/>
        <w:gridCol w:w="1417"/>
      </w:tblGrid>
      <w:tr>
        <w:trPr/>
        <w:tc>
          <w:tcPr>
            <w:tcW w:w="7583" w:type="dxa"/>
            <w:tcBorders>
              <w:top w:val="single" w:sz="6" w:space="0" w:color="000000"/>
              <w:left w:val="single" w:sz="6" w:space="0" w:color="000000"/>
              <w:bottom w:val="single" w:sz="6" w:space="0" w:color="000000"/>
              <w:right w:val="single" w:sz="6" w:space="0" w:color="000000"/>
            </w:tcBorders>
          </w:tcPr>
          <w:p>
            <w:pPr>
              <w:pStyle w:val="Testo"/>
              <w:widowControl w:val="false"/>
              <w:rPr>
                <w:rFonts w:ascii="Tahoma" w:hAnsi="Tahoma" w:cs="Tahoma"/>
                <w:sz w:val="18"/>
                <w:szCs w:val="18"/>
                <w:u w:val="none" w:color="FF0000"/>
              </w:rPr>
            </w:pPr>
            <w:r>
              <w:rPr>
                <w:rFonts w:cs="Tahoma" w:ascii="Tahoma" w:hAnsi="Tahoma"/>
                <w:sz w:val="18"/>
                <w:szCs w:val="18"/>
                <w:u w:val="none" w:color="FF0000"/>
              </w:rPr>
              <w:t xml:space="preserve">C) Per ogni anno di servizio di ruolo prestato nella scuola di attuale titolarità  o di incarico triennale senza  soluzione di continuità in aggiunta a quello previsto dalle lettere A), A1), B), B1), B2) </w:t>
            </w:r>
          </w:p>
          <w:p>
            <w:pPr>
              <w:pStyle w:val="Testo"/>
              <w:widowControl w:val="false"/>
              <w:rPr>
                <w:rFonts w:ascii="Tahoma" w:hAnsi="Tahoma" w:cs="Tahoma"/>
                <w:sz w:val="18"/>
                <w:szCs w:val="18"/>
                <w:u w:val="none" w:color="FF0000"/>
              </w:rPr>
            </w:pPr>
            <w:r>
              <w:rPr>
                <w:rFonts w:cs="Tahoma" w:ascii="Tahoma" w:hAnsi="Tahoma"/>
                <w:sz w:val="18"/>
                <w:szCs w:val="18"/>
                <w:u w:val="none" w:color="FF0000"/>
              </w:rPr>
              <w:t>-  entro  il  quinquennio.................................................................……………</w:t>
            </w:r>
          </w:p>
          <w:p>
            <w:pPr>
              <w:pStyle w:val="Testo"/>
              <w:widowControl w:val="false"/>
              <w:rPr>
                <w:rFonts w:ascii="Tahoma" w:hAnsi="Tahoma" w:cs="Tahoma"/>
                <w:sz w:val="18"/>
                <w:szCs w:val="18"/>
                <w:u w:val="none" w:color="FF0000"/>
              </w:rPr>
            </w:pPr>
            <w:r>
              <w:rPr>
                <w:rFonts w:cs="Tahoma" w:ascii="Tahoma" w:hAnsi="Tahoma"/>
                <w:sz w:val="18"/>
                <w:szCs w:val="18"/>
                <w:u w:val="none" w:color="FF0000"/>
              </w:rPr>
              <w:t>-  oltre   il  quinquennio ……………………………………………………....</w:t>
            </w:r>
          </w:p>
        </w:tc>
        <w:tc>
          <w:tcPr>
            <w:tcW w:w="1417" w:type="dxa"/>
            <w:tcBorders>
              <w:top w:val="single" w:sz="6" w:space="0" w:color="000000"/>
              <w:left w:val="single" w:sz="6" w:space="0" w:color="000000"/>
              <w:bottom w:val="single" w:sz="6" w:space="0" w:color="000000"/>
              <w:right w:val="single" w:sz="6" w:space="0" w:color="000000"/>
            </w:tcBorders>
          </w:tcPr>
          <w:p>
            <w:pPr>
              <w:pStyle w:val="Testo"/>
              <w:widowControl w:val="false"/>
              <w:rPr>
                <w:rFonts w:ascii="Tahoma" w:hAnsi="Tahoma" w:cs="Tahoma"/>
                <w:sz w:val="18"/>
                <w:szCs w:val="18"/>
                <w:u w:val="none" w:color="FF0000"/>
              </w:rPr>
            </w:pPr>
            <w:r>
              <w:rPr>
                <w:rFonts w:cs="Tahoma" w:ascii="Tahoma" w:hAnsi="Tahoma"/>
                <w:sz w:val="18"/>
                <w:szCs w:val="18"/>
                <w:u w:val="none" w:color="FF0000"/>
              </w:rPr>
            </w:r>
          </w:p>
          <w:p>
            <w:pPr>
              <w:pStyle w:val="Testo"/>
              <w:widowControl w:val="false"/>
              <w:rPr>
                <w:rFonts w:ascii="Tahoma" w:hAnsi="Tahoma" w:cs="Tahoma"/>
                <w:sz w:val="18"/>
                <w:szCs w:val="18"/>
                <w:u w:val="none" w:color="FF0000"/>
              </w:rPr>
            </w:pPr>
            <w:r>
              <w:rPr>
                <w:rFonts w:cs="Tahoma" w:ascii="Tahoma" w:hAnsi="Tahoma"/>
                <w:sz w:val="18"/>
                <w:szCs w:val="18"/>
                <w:u w:val="none" w:color="FF0000"/>
              </w:rPr>
            </w:r>
          </w:p>
          <w:p>
            <w:pPr>
              <w:pStyle w:val="Testo"/>
              <w:widowControl w:val="false"/>
              <w:rPr>
                <w:rFonts w:ascii="Tahoma" w:hAnsi="Tahoma" w:cs="Tahoma"/>
                <w:sz w:val="18"/>
                <w:szCs w:val="18"/>
                <w:u w:val="none" w:color="FF0000"/>
              </w:rPr>
            </w:pPr>
            <w:r>
              <w:rPr>
                <w:rFonts w:cs="Tahoma" w:ascii="Tahoma" w:hAnsi="Tahoma"/>
                <w:sz w:val="18"/>
                <w:szCs w:val="18"/>
                <w:u w:val="none" w:color="FF0000"/>
              </w:rPr>
            </w:r>
          </w:p>
          <w:p>
            <w:pPr>
              <w:pStyle w:val="Testo"/>
              <w:widowControl w:val="false"/>
              <w:rPr>
                <w:rFonts w:ascii="Tahoma" w:hAnsi="Tahoma" w:cs="Tahoma"/>
                <w:sz w:val="18"/>
                <w:szCs w:val="18"/>
                <w:u w:val="none" w:color="FF0000"/>
              </w:rPr>
            </w:pPr>
            <w:r>
              <w:rPr>
                <w:rFonts w:cs="Tahoma" w:ascii="Tahoma" w:hAnsi="Tahoma"/>
                <w:sz w:val="18"/>
                <w:szCs w:val="18"/>
                <w:u w:val="none" w:color="FF0000"/>
              </w:rPr>
              <w:t>Punti 2</w:t>
            </w:r>
          </w:p>
          <w:p>
            <w:pPr>
              <w:pStyle w:val="Testo"/>
              <w:widowControl w:val="false"/>
              <w:rPr>
                <w:rFonts w:ascii="Tahoma" w:hAnsi="Tahoma" w:cs="Tahoma"/>
                <w:sz w:val="18"/>
                <w:szCs w:val="18"/>
                <w:u w:val="none" w:color="FF0000"/>
              </w:rPr>
            </w:pPr>
            <w:r>
              <w:rPr>
                <w:rFonts w:cs="Tahoma" w:ascii="Tahoma" w:hAnsi="Tahoma"/>
                <w:sz w:val="18"/>
                <w:szCs w:val="18"/>
                <w:u w:val="none" w:color="FF0000"/>
              </w:rPr>
              <w:t xml:space="preserve">Punti 3 </w:t>
            </w:r>
          </w:p>
        </w:tc>
      </w:tr>
    </w:tbl>
    <w:p>
      <w:pPr>
        <w:pStyle w:val="Testo"/>
        <w:ind w:left="0" w:hanging="0"/>
        <w:rPr>
          <w:rFonts w:ascii="Tahoma" w:hAnsi="Tahoma" w:cs="Tahoma"/>
          <w:sz w:val="18"/>
          <w:szCs w:val="18"/>
          <w:u w:val="none" w:color="FF0000"/>
        </w:rPr>
      </w:pPr>
      <w:r>
        <w:rPr>
          <w:rFonts w:cs="Tahoma" w:ascii="Tahoma" w:hAnsi="Tahoma"/>
          <w:sz w:val="18"/>
          <w:szCs w:val="18"/>
          <w:u w:val="none" w:color="FF0000"/>
        </w:rPr>
        <w:t>Sempre ai fini della formazione della graduatoria per l’individuazione del soprannumerario ed ai fini del trasferimento d’ufficio, viene valutata anche la continuità di servizio nella comune di attuale titolarità, nella seguente misura:</w:t>
      </w:r>
    </w:p>
    <w:tbl>
      <w:tblPr>
        <w:tblW w:w="9001" w:type="dxa"/>
        <w:jc w:val="left"/>
        <w:tblInd w:w="0" w:type="dxa"/>
        <w:tblLayout w:type="fixed"/>
        <w:tblCellMar>
          <w:top w:w="0" w:type="dxa"/>
          <w:left w:w="70" w:type="dxa"/>
          <w:bottom w:w="0" w:type="dxa"/>
          <w:right w:w="70" w:type="dxa"/>
        </w:tblCellMar>
        <w:tblLook w:val="0000"/>
      </w:tblPr>
      <w:tblGrid>
        <w:gridCol w:w="7583"/>
        <w:gridCol w:w="1417"/>
      </w:tblGrid>
      <w:tr>
        <w:trPr/>
        <w:tc>
          <w:tcPr>
            <w:tcW w:w="7583" w:type="dxa"/>
            <w:tcBorders>
              <w:top w:val="single" w:sz="6" w:space="0" w:color="000000"/>
              <w:left w:val="single" w:sz="6" w:space="0" w:color="000000"/>
              <w:bottom w:val="single" w:sz="6" w:space="0" w:color="000000"/>
              <w:right w:val="single" w:sz="6" w:space="0" w:color="000000"/>
            </w:tcBorders>
          </w:tcPr>
          <w:p>
            <w:pPr>
              <w:pStyle w:val="Testo"/>
              <w:widowControl w:val="false"/>
              <w:rPr>
                <w:rFonts w:ascii="Tahoma" w:hAnsi="Tahoma" w:cs="Tahoma"/>
                <w:sz w:val="18"/>
                <w:szCs w:val="18"/>
                <w:u w:val="none" w:color="FF0000"/>
              </w:rPr>
            </w:pPr>
            <w:r>
              <w:rPr>
                <w:rFonts w:cs="Tahoma" w:ascii="Tahoma" w:hAnsi="Tahoma"/>
                <w:sz w:val="18"/>
                <w:szCs w:val="18"/>
                <w:u w:val="none" w:color="FF0000"/>
              </w:rPr>
              <w:t>C 0) Per ogni anno di servizio di ruolo prestato nel comune di attuale titolarità o di incarico triennale senza soluzione di continuità in aggiunta a quello previsto dalle lettere A), A1), B), B1), B2) ………………………………………………………..</w:t>
            </w:r>
          </w:p>
        </w:tc>
        <w:tc>
          <w:tcPr>
            <w:tcW w:w="1417" w:type="dxa"/>
            <w:tcBorders>
              <w:top w:val="single" w:sz="6" w:space="0" w:color="000000"/>
              <w:left w:val="single" w:sz="6" w:space="0" w:color="000000"/>
              <w:bottom w:val="single" w:sz="6" w:space="0" w:color="000000"/>
              <w:right w:val="single" w:sz="6" w:space="0" w:color="000000"/>
            </w:tcBorders>
          </w:tcPr>
          <w:p>
            <w:pPr>
              <w:pStyle w:val="Testo"/>
              <w:widowControl w:val="false"/>
              <w:rPr>
                <w:rFonts w:ascii="Tahoma" w:hAnsi="Tahoma" w:cs="Tahoma"/>
                <w:sz w:val="18"/>
                <w:szCs w:val="18"/>
                <w:u w:val="none" w:color="FF0000"/>
              </w:rPr>
            </w:pPr>
            <w:r>
              <w:rPr>
                <w:rFonts w:cs="Tahoma" w:ascii="Tahoma" w:hAnsi="Tahoma"/>
                <w:sz w:val="18"/>
                <w:szCs w:val="18"/>
                <w:u w:val="none" w:color="FF0000"/>
              </w:rPr>
            </w:r>
          </w:p>
          <w:p>
            <w:pPr>
              <w:pStyle w:val="Testo"/>
              <w:widowControl w:val="false"/>
              <w:rPr>
                <w:rFonts w:ascii="Tahoma" w:hAnsi="Tahoma" w:cs="Tahoma"/>
                <w:sz w:val="18"/>
                <w:szCs w:val="18"/>
                <w:u w:val="none" w:color="FF0000"/>
              </w:rPr>
            </w:pPr>
            <w:r>
              <w:rPr>
                <w:rFonts w:cs="Tahoma" w:ascii="Tahoma" w:hAnsi="Tahoma"/>
                <w:sz w:val="18"/>
                <w:szCs w:val="18"/>
                <w:u w:val="none" w:color="FF0000"/>
              </w:rPr>
            </w:r>
          </w:p>
          <w:p>
            <w:pPr>
              <w:pStyle w:val="Testo"/>
              <w:widowControl w:val="false"/>
              <w:rPr>
                <w:rFonts w:ascii="Tahoma" w:hAnsi="Tahoma" w:cs="Tahoma"/>
                <w:sz w:val="18"/>
                <w:szCs w:val="18"/>
                <w:u w:val="none" w:color="FF0000"/>
              </w:rPr>
            </w:pPr>
            <w:r>
              <w:rPr>
                <w:rFonts w:cs="Tahoma" w:ascii="Tahoma" w:hAnsi="Tahoma"/>
                <w:sz w:val="18"/>
                <w:szCs w:val="18"/>
                <w:u w:val="none" w:color="FF0000"/>
              </w:rPr>
              <w:t xml:space="preserve">Punti 1 </w:t>
            </w:r>
          </w:p>
        </w:tc>
      </w:tr>
    </w:tbl>
    <w:p>
      <w:pPr>
        <w:pStyle w:val="Testo"/>
        <w:ind w:left="0" w:hanging="0"/>
        <w:rPr>
          <w:rFonts w:ascii="Tahoma" w:hAnsi="Tahoma" w:cs="Tahoma"/>
          <w:sz w:val="18"/>
          <w:szCs w:val="18"/>
          <w:u w:val="none" w:color="FF0000"/>
        </w:rPr>
      </w:pPr>
      <w:r>
        <w:rPr>
          <w:rFonts w:cs="Tahoma" w:ascii="Tahoma" w:hAnsi="Tahoma"/>
          <w:sz w:val="18"/>
          <w:szCs w:val="18"/>
          <w:u w:val="none" w:color="FF0000"/>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pPr>
        <w:pStyle w:val="Testo"/>
        <w:ind w:left="0" w:hanging="0"/>
        <w:rPr>
          <w:rFonts w:ascii="Tahoma" w:hAnsi="Tahoma" w:cs="Tahoma"/>
          <w:sz w:val="18"/>
          <w:szCs w:val="18"/>
          <w:u w:val="none" w:color="FF0000"/>
        </w:rPr>
      </w:pPr>
      <w:r>
        <w:rPr>
          <w:rFonts w:cs="Tahoma" w:ascii="Tahoma" w:hAnsi="Tahoma"/>
          <w:sz w:val="18"/>
          <w:szCs w:val="18"/>
          <w:u w:val="none" w:color="FF0000"/>
        </w:rP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pPr>
        <w:pStyle w:val="Testo"/>
        <w:numPr>
          <w:ilvl w:val="1"/>
          <w:numId w:val="1"/>
        </w:numPr>
        <w:tabs>
          <w:tab w:val="clear" w:pos="708"/>
          <w:tab w:val="left" w:pos="900" w:leader="none"/>
        </w:tabs>
        <w:ind w:left="900" w:hanging="360"/>
        <w:rPr>
          <w:rFonts w:ascii="Tahoma" w:hAnsi="Tahoma" w:cs="Tahoma"/>
          <w:sz w:val="18"/>
          <w:szCs w:val="18"/>
          <w:u w:val="none" w:color="FF0000"/>
        </w:rPr>
      </w:pPr>
      <w:r>
        <w:rPr>
          <w:rFonts w:cs="Tahoma" w:ascii="Tahoma" w:hAnsi="Tahoma"/>
          <w:sz w:val="18"/>
          <w:szCs w:val="18"/>
          <w:u w:val="none" w:color="FF0000"/>
        </w:rPr>
        <w:t>domanda condizionata di trasferimento, in quanto individuati soprannumerari;</w:t>
      </w:r>
    </w:p>
    <w:p>
      <w:pPr>
        <w:pStyle w:val="Testo"/>
        <w:numPr>
          <w:ilvl w:val="1"/>
          <w:numId w:val="1"/>
        </w:numPr>
        <w:tabs>
          <w:tab w:val="clear" w:pos="708"/>
          <w:tab w:val="left" w:pos="900" w:leader="none"/>
        </w:tabs>
        <w:ind w:left="900" w:hanging="360"/>
        <w:rPr>
          <w:rFonts w:ascii="Tahoma" w:hAnsi="Tahoma" w:cs="Tahoma"/>
          <w:sz w:val="18"/>
          <w:szCs w:val="18"/>
          <w:u w:val="none" w:color="FF0000"/>
        </w:rPr>
      </w:pPr>
      <w:r>
        <w:rPr>
          <w:rFonts w:cs="Tahoma" w:ascii="Tahoma" w:hAnsi="Tahoma"/>
          <w:sz w:val="18"/>
          <w:szCs w:val="18"/>
          <w:u w:val="none" w:color="FF0000"/>
        </w:rPr>
        <w:t>domanda di trasferimento per la scuola primaria tra i posti comune e lingua straniera nell’organico dello stesso circolo di titolarità;</w:t>
      </w:r>
    </w:p>
    <w:p>
      <w:pPr>
        <w:pStyle w:val="Testo"/>
        <w:numPr>
          <w:ilvl w:val="1"/>
          <w:numId w:val="1"/>
        </w:numPr>
        <w:tabs>
          <w:tab w:val="clear" w:pos="708"/>
          <w:tab w:val="left" w:pos="900" w:leader="none"/>
        </w:tabs>
        <w:ind w:left="900" w:hanging="360"/>
        <w:rPr>
          <w:rFonts w:ascii="Tahoma" w:hAnsi="Tahoma" w:cs="Tahoma"/>
          <w:sz w:val="18"/>
          <w:szCs w:val="18"/>
          <w:u w:val="none" w:color="FF0000"/>
        </w:rPr>
      </w:pPr>
      <w:r>
        <w:rPr>
          <w:rFonts w:cs="Tahoma" w:ascii="Tahoma" w:hAnsi="Tahoma"/>
          <w:sz w:val="18"/>
          <w:szCs w:val="18"/>
          <w:u w:val="none" w:color="FF0000"/>
        </w:rPr>
        <w:t>domanda di rientro nella scuola di precedente titolarità, nel quinquennio di fruizione del diritto alla precedenza di cui ai punti II e V dell’art. 13, comma 1 del CCNI.</w:t>
      </w:r>
    </w:p>
    <w:p>
      <w:pPr>
        <w:pStyle w:val="Testo"/>
        <w:ind w:left="0" w:hanging="0"/>
        <w:rPr>
          <w:rFonts w:ascii="Tahoma" w:hAnsi="Tahoma" w:cs="Tahoma"/>
          <w:sz w:val="18"/>
          <w:szCs w:val="18"/>
          <w:u w:val="none" w:color="FF0000"/>
        </w:rPr>
      </w:pPr>
      <w:r>
        <w:rPr>
          <w:rFonts w:cs="Tahoma" w:ascii="Tahoma" w:hAnsi="Tahoma"/>
          <w:sz w:val="18"/>
          <w:szCs w:val="18"/>
          <w:u w:val="none" w:color="FF000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pPr>
        <w:pStyle w:val="Testo"/>
        <w:ind w:left="0" w:hanging="0"/>
        <w:rPr>
          <w:rFonts w:ascii="Tahoma" w:hAnsi="Tahoma" w:cs="Tahoma"/>
          <w:sz w:val="18"/>
          <w:szCs w:val="18"/>
          <w:u w:val="none" w:color="FF0000"/>
        </w:rPr>
      </w:pPr>
      <w:r>
        <w:rPr>
          <w:rFonts w:cs="Tahoma" w:ascii="Tahoma" w:hAnsi="Tahoma"/>
          <w:sz w:val="18"/>
          <w:szCs w:val="18"/>
          <w:u w:val="none" w:color="FF0000"/>
        </w:rPr>
        <w:t>(6)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Pr>
          <w:rFonts w:cs="Tahoma" w:ascii="Tahoma" w:hAnsi="Tahoma"/>
          <w:strike/>
          <w:sz w:val="18"/>
          <w:szCs w:val="18"/>
          <w:u w:val="none" w:color="FF0000"/>
        </w:rPr>
        <w:t>no</w:t>
      </w:r>
      <w:r>
        <w:rPr>
          <w:rFonts w:cs="Tahoma" w:ascii="Tahoma" w:hAnsi="Tahoma"/>
          <w:sz w:val="18"/>
          <w:szCs w:val="18"/>
          <w:u w:val="none" w:color="FF0000"/>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 </w:t>
      </w:r>
      <w:r>
        <w:rPr>
          <w:rFonts w:cs="Tahoma" w:ascii="Tahoma" w:hAnsi="Tahoma"/>
          <w:sz w:val="18"/>
          <w:szCs w:val="18"/>
          <w:u w:val="none" w:color="FF0000"/>
        </w:rPr>
        <w:t>(7)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pPr>
        <w:pStyle w:val="Testo"/>
        <w:ind w:left="0" w:hanging="0"/>
        <w:rPr>
          <w:rFonts w:ascii="Tahoma" w:hAnsi="Tahoma" w:cs="Tahoma"/>
          <w:sz w:val="18"/>
          <w:szCs w:val="18"/>
          <w:u w:val="none" w:color="FF0000"/>
        </w:rPr>
      </w:pPr>
      <w:r>
        <w:rPr>
          <w:rFonts w:cs="Tahoma" w:ascii="Tahoma" w:hAnsi="Tahoma"/>
          <w:sz w:val="18"/>
          <w:szCs w:val="18"/>
          <w:u w:val="single"/>
        </w:rPr>
        <w:t>lettera A)</w:t>
      </w:r>
      <w:r>
        <w:rPr>
          <w:rFonts w:cs="Tahoma" w:ascii="Tahoma" w:hAnsi="Tahoma"/>
          <w:sz w:val="18"/>
          <w:szCs w:val="18"/>
          <w:u w:val="none" w:color="FF0000"/>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pPr>
        <w:pStyle w:val="Testo"/>
        <w:ind w:left="0" w:hanging="0"/>
        <w:rPr>
          <w:rFonts w:ascii="Tahoma" w:hAnsi="Tahoma" w:cs="Tahoma"/>
          <w:sz w:val="18"/>
          <w:szCs w:val="18"/>
          <w:u w:val="none" w:color="FF0000"/>
        </w:rPr>
      </w:pPr>
      <w:r>
        <w:rPr>
          <w:rFonts w:cs="Tahoma" w:ascii="Tahoma" w:hAnsi="Tahoma"/>
          <w:sz w:val="18"/>
          <w:szCs w:val="18"/>
          <w:u w:val="single"/>
        </w:rPr>
        <w:t>lettera B) e lettera C)</w:t>
      </w:r>
      <w:r>
        <w:rPr>
          <w:rFonts w:cs="Tahoma" w:ascii="Tahoma" w:hAnsi="Tahoma"/>
          <w:sz w:val="18"/>
          <w:szCs w:val="18"/>
          <w:u w:val="none" w:color="FF0000"/>
        </w:rPr>
        <w:t xml:space="preserve"> valgono sempre;   </w:t>
      </w:r>
    </w:p>
    <w:p>
      <w:pPr>
        <w:pStyle w:val="Testo"/>
        <w:ind w:left="0" w:hanging="0"/>
        <w:rPr>
          <w:rFonts w:ascii="Tahoma" w:hAnsi="Tahoma" w:cs="Tahoma"/>
          <w:sz w:val="18"/>
          <w:szCs w:val="18"/>
          <w:u w:val="none" w:color="FF0000"/>
        </w:rPr>
      </w:pPr>
      <w:r>
        <w:rPr>
          <w:rFonts w:cs="Tahoma" w:ascii="Tahoma" w:hAnsi="Tahoma"/>
          <w:sz w:val="18"/>
          <w:szCs w:val="18"/>
          <w:u w:val="single"/>
        </w:rPr>
        <w:t>lettera D)</w:t>
      </w:r>
      <w:r>
        <w:rPr>
          <w:rFonts w:cs="Tahoma" w:ascii="Tahoma" w:hAnsi="Tahoma"/>
          <w:sz w:val="18"/>
          <w:szCs w:val="18"/>
          <w:u w:val="none" w:color="FF0000"/>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Il punteggio così calcolato viene utilizzato anche nelle operazioni di trasferimento d’ufficio del soprannumerario. </w:t>
      </w:r>
    </w:p>
    <w:p>
      <w:pPr>
        <w:pStyle w:val="Testo"/>
        <w:ind w:left="0" w:hanging="0"/>
        <w:rPr>
          <w:rFonts w:ascii="Tahoma" w:hAnsi="Tahoma" w:cs="Tahoma"/>
          <w:sz w:val="18"/>
          <w:szCs w:val="18"/>
          <w:u w:val="none" w:color="FF0000"/>
        </w:rPr>
      </w:pPr>
      <w:r>
        <w:rPr>
          <w:rFonts w:cs="Tahoma" w:ascii="Tahoma" w:hAnsi="Tahoma"/>
          <w:sz w:val="18"/>
          <w:szCs w:val="18"/>
          <w:u w:val="none" w:color="FF0000"/>
        </w:rPr>
        <w:t>(8) Il punteggio va attribuito anche per i figli che compiono i sei anni o i diciotto tra il 1 gennaio e il 31 dicembre dell’anno in cui si effettua il trasferimento.</w:t>
      </w:r>
    </w:p>
    <w:p>
      <w:pPr>
        <w:pStyle w:val="Testo"/>
        <w:ind w:left="0" w:hanging="0"/>
        <w:rPr>
          <w:rFonts w:ascii="Tahoma" w:hAnsi="Tahoma" w:cs="Tahoma"/>
          <w:sz w:val="18"/>
          <w:szCs w:val="18"/>
          <w:u w:val="none" w:color="FF0000"/>
        </w:rPr>
      </w:pPr>
      <w:r>
        <w:rPr>
          <w:rFonts w:cs="Tahoma" w:ascii="Tahoma" w:hAnsi="Tahoma"/>
          <w:sz w:val="18"/>
          <w:szCs w:val="18"/>
          <w:u w:val="none" w:color="FF0000"/>
        </w:rPr>
        <w:t>(9) La valutazione è attribuita nei seguenti casi:</w:t>
      </w:r>
    </w:p>
    <w:p>
      <w:pPr>
        <w:pStyle w:val="Testo"/>
        <w:ind w:left="0" w:hanging="0"/>
        <w:rPr>
          <w:rFonts w:ascii="Tahoma" w:hAnsi="Tahoma" w:cs="Tahoma"/>
          <w:sz w:val="18"/>
          <w:szCs w:val="18"/>
          <w:u w:val="none" w:color="FF0000"/>
        </w:rPr>
      </w:pPr>
      <w:r>
        <w:rPr>
          <w:rFonts w:cs="Tahoma" w:ascii="Tahoma" w:hAnsi="Tahoma"/>
          <w:sz w:val="18"/>
          <w:szCs w:val="18"/>
          <w:u w:val="none" w:color="FF0000"/>
        </w:rPr>
        <w:t>a) figlio minorato, ovvero coniuge o parte dell’unione civile o genitore, ricoverati permanentemente in un istituto di cura;</w:t>
      </w:r>
    </w:p>
    <w:p>
      <w:pPr>
        <w:pStyle w:val="Testo"/>
        <w:ind w:left="0" w:hanging="0"/>
        <w:rPr>
          <w:rFonts w:ascii="Tahoma" w:hAnsi="Tahoma" w:cs="Tahoma"/>
          <w:sz w:val="18"/>
          <w:szCs w:val="18"/>
          <w:u w:val="none" w:color="FF0000"/>
        </w:rPr>
      </w:pPr>
      <w:r>
        <w:rPr>
          <w:rFonts w:cs="Tahoma" w:ascii="Tahoma" w:hAnsi="Tahoma"/>
          <w:sz w:val="18"/>
          <w:szCs w:val="18"/>
          <w:u w:val="none" w:color="FF0000"/>
        </w:rPr>
        <w:t>b) figlio minorato, ovvero coniuge o parte dell’unione civile o genitore bisognosi di cure continuative presso un istituto di cura tali da comportare di necessità la residenza nella sede dello istituto medesimo.</w:t>
      </w:r>
    </w:p>
    <w:p>
      <w:pPr>
        <w:pStyle w:val="Testo"/>
        <w:ind w:left="0" w:hanging="0"/>
        <w:rPr>
          <w:rFonts w:ascii="Tahoma" w:hAnsi="Tahoma" w:cs="Tahoma"/>
          <w:sz w:val="18"/>
          <w:szCs w:val="18"/>
          <w:u w:val="none" w:color="FF0000"/>
        </w:rPr>
      </w:pPr>
      <w:r>
        <w:rPr>
          <w:rFonts w:cs="Tahoma" w:ascii="Tahoma" w:hAnsi="Tahoma"/>
          <w:sz w:val="18"/>
          <w:szCs w:val="18"/>
          <w:u w:val="none"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pPr>
        <w:pStyle w:val="Testo"/>
        <w:ind w:left="0" w:hanging="0"/>
        <w:rPr>
          <w:rFonts w:ascii="Tahoma" w:hAnsi="Tahoma" w:cs="Tahoma"/>
          <w:sz w:val="18"/>
          <w:szCs w:val="18"/>
          <w:u w:val="none" w:color="FF0000"/>
        </w:rPr>
      </w:pPr>
      <w:r>
        <w:rPr>
          <w:rFonts w:cs="Tahoma" w:ascii="Tahoma" w:hAnsi="Tahoma"/>
          <w:sz w:val="18"/>
          <w:szCs w:val="18"/>
          <w:u w:val="none" w:color="FF0000"/>
        </w:rPr>
        <w:t>(10) Si precisa che ai sensi della lettera B) si valuta un solo pubblico concorso. E’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Pr>
          <w:rFonts w:cs="Tahoma" w:ascii="Tahoma" w:hAnsi="Tahoma"/>
          <w:i/>
          <w:sz w:val="18"/>
          <w:szCs w:val="18"/>
          <w:u w:val="none" w:color="FF0000"/>
        </w:rPr>
        <w:t xml:space="preserve"> </w:t>
      </w:r>
      <w:r>
        <w:rPr>
          <w:rFonts w:cs="Tahoma" w:ascii="Tahoma" w:hAnsi="Tahoma"/>
          <w:sz w:val="18"/>
          <w:szCs w:val="18"/>
          <w:u w:val="none" w:color="FF0000"/>
        </w:rPr>
        <w:t xml:space="preserve">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pPr>
        <w:pStyle w:val="Testo"/>
        <w:ind w:left="0" w:hanging="0"/>
        <w:rPr>
          <w:rFonts w:ascii="Tahoma" w:hAnsi="Tahoma" w:cs="Tahoma"/>
          <w:sz w:val="18"/>
          <w:szCs w:val="18"/>
          <w:u w:val="none" w:color="FF0000"/>
        </w:rPr>
      </w:pPr>
      <w:r>
        <w:rPr>
          <w:rFonts w:cs="Tahoma" w:ascii="Tahoma" w:hAnsi="Tahoma"/>
          <w:sz w:val="18"/>
          <w:szCs w:val="18"/>
          <w:u w:val="none"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Pr>
          <w:rFonts w:cs="Tahoma" w:ascii="Tahoma" w:hAnsi="Tahoma"/>
          <w:sz w:val="18"/>
          <w:szCs w:val="18"/>
        </w:rPr>
        <w:t>e successive modifiche ed integrazioni</w:t>
      </w:r>
      <w:r>
        <w:rPr>
          <w:rFonts w:cs="Tahoma" w:ascii="Tahoma" w:hAnsi="Tahoma"/>
          <w:sz w:val="18"/>
          <w:szCs w:val="18"/>
          <w:u w:val="none" w:color="FF0000"/>
        </w:rPr>
        <w:t>.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pPr>
        <w:pStyle w:val="Testo"/>
        <w:ind w:left="0" w:hanging="0"/>
        <w:rPr>
          <w:rFonts w:ascii="Tahoma" w:hAnsi="Tahoma" w:cs="Tahoma"/>
          <w:sz w:val="18"/>
          <w:szCs w:val="18"/>
          <w:u w:val="none" w:color="FF0000"/>
        </w:rPr>
      </w:pPr>
      <w:r>
        <w:rPr>
          <w:rFonts w:cs="Tahoma" w:ascii="Tahoma" w:hAnsi="Tahoma"/>
          <w:sz w:val="18"/>
          <w:szCs w:val="18"/>
          <w:u w:val="none"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pPr>
        <w:pStyle w:val="Testo"/>
        <w:ind w:left="0" w:hanging="0"/>
        <w:rPr>
          <w:rFonts w:ascii="Tahoma" w:hAnsi="Tahoma" w:cs="Tahoma"/>
          <w:strike/>
          <w:sz w:val="18"/>
          <w:szCs w:val="18"/>
          <w:u w:val="none" w:color="FF0000"/>
        </w:rPr>
      </w:pPr>
      <w:r>
        <w:rPr>
          <w:rFonts w:cs="Tahoma" w:ascii="Tahoma" w:hAnsi="Tahoma"/>
          <w:sz w:val="18"/>
          <w:szCs w:val="18"/>
          <w:u w:val="none"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Pr>
          <w:rFonts w:cs="Tahoma" w:ascii="Tahoma" w:hAnsi="Tahoma"/>
          <w:iCs/>
          <w:sz w:val="18"/>
          <w:szCs w:val="18"/>
        </w:rPr>
        <w:t xml:space="preserve"> alla </w:t>
      </w:r>
      <w:r>
        <w:rPr>
          <w:rFonts w:cs="Tahoma" w:ascii="Tahoma" w:hAnsi="Tahoma"/>
          <w:sz w:val="18"/>
          <w:szCs w:val="18"/>
        </w:rPr>
        <w:t xml:space="preserve">laurea in scienze della </w:t>
      </w:r>
      <w:r>
        <w:rPr>
          <w:rFonts w:cs="Tahoma" w:ascii="Tahoma" w:hAnsi="Tahoma"/>
          <w:bCs/>
          <w:sz w:val="18"/>
          <w:szCs w:val="18"/>
        </w:rPr>
        <w:t>formazione primaria</w:t>
      </w:r>
      <w:r>
        <w:rPr>
          <w:rFonts w:cs="Tahoma" w:ascii="Tahoma" w:hAnsi="Tahoma"/>
          <w:sz w:val="18"/>
          <w:szCs w:val="18"/>
        </w:rPr>
        <w:t xml:space="preserve"> con </w:t>
      </w:r>
      <w:r>
        <w:rPr>
          <w:rFonts w:cs="Tahoma" w:ascii="Tahoma" w:hAnsi="Tahoma"/>
          <w:bCs/>
          <w:sz w:val="18"/>
          <w:szCs w:val="18"/>
        </w:rPr>
        <w:t>indirizzo-infanzia,</w:t>
      </w:r>
      <w:r>
        <w:rPr>
          <w:rFonts w:cs="Tahoma" w:ascii="Tahoma" w:hAnsi="Tahoma"/>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rFonts w:cs="Tahoma" w:ascii="Tahoma" w:hAnsi="Tahoma"/>
          <w:bCs/>
          <w:sz w:val="18"/>
          <w:szCs w:val="18"/>
        </w:rPr>
        <w:t>formazione primaria</w:t>
      </w:r>
      <w:r>
        <w:rPr>
          <w:rFonts w:cs="Tahoma" w:ascii="Tahoma" w:hAnsi="Tahoma"/>
          <w:sz w:val="18"/>
          <w:szCs w:val="18"/>
        </w:rPr>
        <w:t xml:space="preserve"> con </w:t>
      </w:r>
      <w:r>
        <w:rPr>
          <w:rFonts w:cs="Tahoma" w:ascii="Tahoma" w:hAnsi="Tahoma"/>
          <w:bCs/>
          <w:sz w:val="18"/>
          <w:szCs w:val="18"/>
        </w:rPr>
        <w:t xml:space="preserve">indirizzo-primaria, titolo </w:t>
      </w:r>
      <w:r>
        <w:rPr>
          <w:rFonts w:cs="Tahoma" w:ascii="Tahoma" w:hAnsi="Tahoma"/>
          <w:sz w:val="18"/>
          <w:szCs w:val="18"/>
        </w:rPr>
        <w:t>non utile ai fini dell’accesso al ruolo della scuola</w:t>
      </w:r>
      <w:r>
        <w:rPr>
          <w:rFonts w:cs="Tahoma" w:ascii="Tahoma" w:hAnsi="Tahoma"/>
          <w:bCs/>
          <w:sz w:val="18"/>
          <w:szCs w:val="18"/>
        </w:rPr>
        <w:t xml:space="preserve"> dell’infanzia, verrà riconosciuto il punteggio di n. 5 punti in quanto titolo</w:t>
      </w:r>
      <w:r>
        <w:rPr>
          <w:rFonts w:cs="Tahoma" w:ascii="Tahoma" w:hAnsi="Tahoma"/>
          <w:sz w:val="18"/>
          <w:szCs w:val="18"/>
        </w:rPr>
        <w:t xml:space="preserve"> aggiuntivo a quello necessario per l’accesso al ruolo di appartenenza.</w:t>
      </w:r>
      <w:r>
        <w:rPr>
          <w:rFonts w:cs="Tahoma" w:ascii="Tahoma" w:hAnsi="Tahoma"/>
          <w:sz w:val="18"/>
          <w:szCs w:val="18"/>
          <w:u w:val="none" w:color="FF0000"/>
        </w:rPr>
        <w:t xml:space="preserve"> Il diploma di laurea in Didattica della musica non si valuta:</w:t>
      </w:r>
    </w:p>
    <w:p>
      <w:pPr>
        <w:pStyle w:val="Testo"/>
        <w:ind w:left="0" w:hanging="0"/>
        <w:rPr>
          <w:rFonts w:ascii="Tahoma" w:hAnsi="Tahoma" w:cs="Tahoma"/>
          <w:sz w:val="18"/>
          <w:szCs w:val="18"/>
          <w:u w:val="none" w:color="FF0000"/>
        </w:rPr>
      </w:pPr>
      <w:r>
        <w:rPr>
          <w:rFonts w:cs="Tahoma" w:ascii="Tahoma" w:hAnsi="Tahoma"/>
          <w:sz w:val="18"/>
          <w:szCs w:val="18"/>
          <w:u w:val="none" w:color="FF0000"/>
        </w:rPr>
        <w:t>- ai docenti titolari delle classi di concorso A031 e A032 in quanto titolo richiesto per l’accesso al ruolo di appartenenza;</w:t>
      </w:r>
    </w:p>
    <w:p>
      <w:pPr>
        <w:pStyle w:val="Testo"/>
        <w:ind w:left="0" w:hanging="0"/>
        <w:rPr>
          <w:rFonts w:ascii="Tahoma" w:hAnsi="Tahoma" w:cs="Tahoma"/>
          <w:sz w:val="18"/>
          <w:szCs w:val="18"/>
          <w:u w:val="none" w:color="FF0000"/>
        </w:rPr>
      </w:pPr>
      <w:r>
        <w:rPr>
          <w:rFonts w:cs="Tahoma" w:ascii="Tahoma" w:hAnsi="Tahoma"/>
          <w:sz w:val="18"/>
          <w:szCs w:val="18"/>
          <w:u w:val="none" w:color="FF0000"/>
        </w:rPr>
        <w:t>-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pPr>
        <w:pStyle w:val="Testo"/>
        <w:ind w:left="0" w:hanging="0"/>
        <w:rPr>
          <w:rFonts w:ascii="Tahoma" w:hAnsi="Tahoma" w:cs="Tahoma"/>
          <w:sz w:val="18"/>
          <w:szCs w:val="18"/>
          <w:u w:val="none" w:color="FF0000"/>
        </w:rPr>
      </w:pPr>
      <w:r>
        <w:rPr>
          <w:rFonts w:cs="Tahoma" w:ascii="Tahoma" w:hAnsi="Tahoma"/>
          <w:sz w:val="18"/>
          <w:szCs w:val="18"/>
          <w:u w:val="none" w:color="FF0000"/>
        </w:rPr>
        <w:t>(13) Il punteggio può essere attribuito anche al personale diplomato.</w:t>
      </w:r>
    </w:p>
    <w:p>
      <w:pPr>
        <w:pStyle w:val="Testo"/>
        <w:ind w:left="0" w:hanging="0"/>
        <w:rPr>
          <w:rFonts w:ascii="Tahoma" w:hAnsi="Tahoma" w:cs="Tahoma"/>
          <w:sz w:val="18"/>
          <w:szCs w:val="18"/>
          <w:u w:val="none" w:color="FF0000"/>
        </w:rPr>
      </w:pPr>
      <w:r>
        <w:rPr>
          <w:rFonts w:cs="Tahoma" w:ascii="Tahoma" w:hAnsi="Tahoma"/>
          <w:sz w:val="18"/>
          <w:szCs w:val="18"/>
          <w:u w:val="none" w:color="FF0000"/>
        </w:rPr>
        <w:t>(14) I corsi tenuti a decorrere dall’anno accademico 2005/06 saranno valutati esclusivamente se di durata annuale, con 1500 ore complessive di impegno, con un riconoscimento di 60 CFU e con esame finale.</w:t>
      </w:r>
    </w:p>
    <w:p>
      <w:pPr>
        <w:pStyle w:val="Testo"/>
        <w:ind w:left="0" w:hanging="0"/>
        <w:rPr>
          <w:rFonts w:ascii="Tahoma" w:hAnsi="Tahoma" w:cs="Tahoma"/>
          <w:sz w:val="18"/>
          <w:szCs w:val="18"/>
          <w:u w:val="none" w:color="FF0000"/>
        </w:rPr>
      </w:pPr>
      <w:r>
        <w:rPr>
          <w:rFonts w:cs="Tahoma" w:ascii="Tahoma" w:hAnsi="Tahoma"/>
          <w:sz w:val="18"/>
          <w:szCs w:val="18"/>
          <w:u w:val="none" w:color="FF0000"/>
        </w:rPr>
        <w:t>(15) Limitatamente alla mobilità nell’ambito dell’insegnamento della religione cattolica sono considerati validi i titoli previsti dal D.P.R. 751/85 e specificati dal DM 15.7.87 e successive modificazioni ed integrazioni.</w:t>
      </w:r>
    </w:p>
    <w:p>
      <w:pPr>
        <w:pStyle w:val="Testo"/>
        <w:ind w:left="0" w:hanging="0"/>
        <w:rPr>
          <w:rFonts w:ascii="Tahoma" w:hAnsi="Tahoma" w:cs="Tahoma"/>
          <w:sz w:val="18"/>
          <w:szCs w:val="18"/>
          <w:u w:val="none" w:color="FF0000"/>
        </w:rPr>
      </w:pPr>
      <w:r>
        <w:rPr>
          <w:rFonts w:cs="Tahoma" w:ascii="Tahoma" w:hAnsi="Tahoma"/>
          <w:sz w:val="18"/>
          <w:szCs w:val="18"/>
          <w:u w:val="none" w:color="FF0000"/>
        </w:rPr>
        <w:t>(16) Il punteggio viene attribuito per il conseguimento di un solo titolo linguistico.</w:t>
      </w:r>
    </w:p>
    <w:p>
      <w:pPr>
        <w:pStyle w:val="Normal"/>
        <w:spacing w:lineRule="auto" w:line="276" w:before="0" w:after="200"/>
        <w:rPr>
          <w:rFonts w:ascii="Tahoma" w:hAnsi="Tahoma" w:eastAsia="Calibri" w:cs="Tahoma"/>
          <w:sz w:val="18"/>
          <w:szCs w:val="18"/>
          <w:lang w:eastAsia="en-US"/>
        </w:rPr>
      </w:pPr>
      <w:r>
        <w:rPr>
          <w:rFonts w:eastAsia="Calibri" w:cs="Tahoma" w:ascii="Tahoma" w:hAnsi="Tahoma"/>
          <w:sz w:val="18"/>
          <w:szCs w:val="18"/>
          <w:lang w:eastAsia="en-US"/>
        </w:rPr>
      </w:r>
    </w:p>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460"/>
        </w:tabs>
        <w:ind w:left="460" w:hanging="340"/>
      </w:pPr>
      <w:rPr>
        <w:rFonts w:ascii="Arial" w:hAnsi="Arial" w:cs="Arial" w:hint="default"/>
        <w:sz w:val="20"/>
        <w:i w:val="false"/>
        <w:b/>
        <w:szCs w:val="20"/>
      </w:rPr>
    </w:lvl>
    <w:lvl w:ilvl="1">
      <w:start w:val="3"/>
      <w:numFmt w:val="bullet"/>
      <w:lvlText w:val="-"/>
      <w:lvlJc w:val="left"/>
      <w:pPr>
        <w:tabs>
          <w:tab w:val="num" w:pos="1420"/>
        </w:tabs>
        <w:ind w:left="1420" w:hanging="340"/>
      </w:pPr>
      <w:rPr>
        <w:rFonts w:ascii="Arial" w:hAnsi="Arial" w:cs="Arial" w:hint="default"/>
        <w:sz w:val="20"/>
        <w:i w:val="false"/>
        <w:b/>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5d3"/>
    <w:pPr>
      <w:widowControl/>
      <w:bidi w:val="0"/>
      <w:spacing w:lineRule="auto" w:line="240" w:before="0" w:after="0"/>
      <w:jc w:val="left"/>
    </w:pPr>
    <w:rPr>
      <w:rFonts w:ascii="Times New Roman" w:hAnsi="Times New Roman" w:eastAsia="Times New Roman" w:cs="Times New Roman"/>
      <w:color w:val="auto"/>
      <w:kern w:val="0"/>
      <w:sz w:val="20"/>
      <w:szCs w:val="20"/>
      <w:lang w:eastAsia="it-IT" w:val="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esto" w:customStyle="1">
    <w:name w:val="testo"/>
    <w:basedOn w:val="Normal"/>
    <w:qFormat/>
    <w:rsid w:val="00a625d3"/>
    <w:pPr>
      <w:ind w:left="567" w:hanging="0"/>
      <w:jc w:val="both"/>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LibreOffice/7.4.2.3$Windows_X86_64 LibreOffice_project/382eef1f22670f7f4118c8c2dd222ec7ad009daf</Application>
  <AppVersion>15.0000</AppVersion>
  <Pages>3</Pages>
  <Words>6294</Words>
  <Characters>35123</Characters>
  <CharactersWithSpaces>41478</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2022-02-25T10:08:00Z</dcterms:created>
  <dc:creator>Antonella Palazzo</dc:creator>
  <dc:description/>
  <dc:language>it-IT</dc:language>
  <cp:lastModifiedBy>utente</cp:lastModifiedBy>
  <dcterms:modified xsi:type="dcterms:W3CDTF">2022-02-25T10:08:00Z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