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0" w:color="000000"/>
        </w:pBdr>
        <w:spacing w:lineRule="exact" w:line="240"/>
        <w:rPr>
          <w:b/>
          <w:b/>
          <w:bCs/>
          <w:sz w:val="32"/>
          <w:szCs w:val="32"/>
        </w:rPr>
      </w:pPr>
      <w:r>
        <w:rPr>
          <w:b/>
          <w:bCs/>
          <w:sz w:val="20"/>
          <w:szCs w:val="20"/>
        </w:rPr>
        <w:t xml:space="preserve">Docente di Scuola:   </w:t>
      </w:r>
      <w:r>
        <w:rPr>
          <w:b/>
          <w:bCs/>
          <w:sz w:val="32"/>
          <w:szCs w:val="32"/>
        </w:rPr>
        <w:t xml:space="preserve">□ </w:t>
      </w:r>
      <w:r>
        <w:rPr>
          <w:b/>
          <w:bCs/>
        </w:rPr>
        <w:t>Infanzia-</w:t>
        <w:tab/>
      </w:r>
      <w:r>
        <w:rPr>
          <w:b/>
          <w:bCs/>
          <w:sz w:val="32"/>
          <w:szCs w:val="32"/>
        </w:rPr>
        <w:t xml:space="preserve">□ </w:t>
      </w:r>
      <w:r>
        <w:rPr>
          <w:b/>
          <w:bCs/>
        </w:rPr>
        <w:t xml:space="preserve">Primaria </w:t>
        <w:tab/>
        <w:t xml:space="preserve">Posto :  </w:t>
      </w:r>
      <w:r>
        <w:rPr>
          <w:b/>
          <w:bCs/>
          <w:sz w:val="32"/>
          <w:szCs w:val="32"/>
        </w:rPr>
        <w:t xml:space="preserve">□ </w:t>
      </w:r>
      <w:r>
        <w:rPr>
          <w:b/>
          <w:bCs/>
        </w:rPr>
        <w:t xml:space="preserve">Comune </w:t>
        <w:tab/>
      </w:r>
      <w:r>
        <w:rPr>
          <w:b/>
          <w:bCs/>
          <w:sz w:val="32"/>
          <w:szCs w:val="32"/>
        </w:rPr>
        <w:t xml:space="preserve">□ </w:t>
      </w:r>
      <w:r>
        <w:rPr>
          <w:b/>
          <w:bCs/>
        </w:rPr>
        <w:t xml:space="preserve">Sostegno </w:t>
        <w:tab/>
        <w:tab/>
      </w:r>
      <w:r>
        <w:rPr>
          <w:b/>
          <w:bCs/>
          <w:sz w:val="32"/>
          <w:szCs w:val="32"/>
        </w:rPr>
        <w:t xml:space="preserve">□ </w:t>
      </w:r>
      <w:r>
        <w:rPr>
          <w:b/>
          <w:bCs/>
        </w:rPr>
        <w:t>Inglese</w:t>
      </w:r>
      <w:r>
        <w:rPr>
          <w:b/>
          <w:bCs/>
          <w:sz w:val="32"/>
          <w:szCs w:val="32"/>
        </w:rPr>
        <w:t xml:space="preserve"> </w:t>
      </w:r>
    </w:p>
    <w:p>
      <w:pPr>
        <w:pStyle w:val="Normal"/>
        <w:pBdr>
          <w:top w:val="single" w:sz="4" w:space="1" w:color="000000"/>
          <w:left w:val="single" w:sz="4" w:space="4" w:color="000000"/>
          <w:bottom w:val="single" w:sz="4" w:space="1" w:color="000000"/>
          <w:right w:val="single" w:sz="4" w:space="0" w:color="000000"/>
        </w:pBdr>
        <w:spacing w:lineRule="exact" w:line="240"/>
        <w:rPr>
          <w:b/>
          <w:b/>
          <w:bCs/>
        </w:rPr>
      </w:pPr>
      <w:r>
        <w:rPr>
          <w:b/>
          <w:bCs/>
        </w:rPr>
        <w:t xml:space="preserve">Docente scuola secondaria 1°grado </w:t>
      </w:r>
      <w:r>
        <w:rPr>
          <w:b/>
          <w:bCs/>
          <w:sz w:val="32"/>
          <w:szCs w:val="32"/>
        </w:rPr>
        <w:t xml:space="preserve">□ </w:t>
      </w:r>
      <w:r>
        <w:rPr>
          <w:b/>
          <w:bCs/>
        </w:rPr>
        <w:t>Cl/Conc :___________ -Posto:</w:t>
      </w:r>
      <w:r>
        <w:rPr>
          <w:b/>
          <w:bCs/>
          <w:sz w:val="32"/>
          <w:szCs w:val="32"/>
        </w:rPr>
        <w:t xml:space="preserve">□ </w:t>
      </w:r>
      <w:r>
        <w:rPr>
          <w:b/>
          <w:bCs/>
        </w:rPr>
        <w:t>Normale</w:t>
      </w:r>
      <w:r>
        <w:rPr>
          <w:b/>
          <w:bCs/>
          <w:sz w:val="32"/>
          <w:szCs w:val="32"/>
        </w:rPr>
        <w:t xml:space="preserve"> □ </w:t>
      </w:r>
      <w:r>
        <w:rPr>
          <w:b/>
          <w:bCs/>
        </w:rPr>
        <w:t>Sostegno</w:t>
      </w:r>
      <w:r>
        <w:rPr>
          <w:b/>
          <w:bCs/>
          <w:sz w:val="32"/>
          <w:szCs w:val="32"/>
        </w:rPr>
        <w:t xml:space="preserve"> □ </w:t>
      </w:r>
      <w:r>
        <w:rPr>
          <w:b/>
          <w:bCs/>
        </w:rPr>
        <w:t>Strumento ………</w:t>
      </w:r>
    </w:p>
    <w:p>
      <w:pPr>
        <w:pStyle w:val="Normal"/>
        <w:spacing w:lineRule="auto" w:line="360" w:before="0" w:after="0"/>
        <w:jc w:val="both"/>
        <w:rPr>
          <w:rFonts w:cs="Verdana"/>
          <w:color w:val="000000"/>
          <w:sz w:val="20"/>
          <w:szCs w:val="20"/>
        </w:rPr>
      </w:pPr>
      <w:r>
        <w:rPr>
          <w:rFonts w:cs="Calibri"/>
          <w:sz w:val="20"/>
          <w:szCs w:val="20"/>
        </w:rPr>
        <w:t xml:space="preserve">Il/La sottoscritt__   ___________________________________________   nat__ a ____________________________ prov. (___)  il ____/_____/_____ residente in _______________________________ insegnante di  _________________________________ (classe di concorso __________) </w:t>
      </w:r>
      <w:r>
        <w:rPr>
          <w:rFonts w:cs="Verdana"/>
          <w:color w:val="000000"/>
          <w:sz w:val="20"/>
          <w:szCs w:val="20"/>
        </w:rPr>
        <w:t>immesso in ruolo ai sensi ________________________________con effettiva assunzione in servizio dal ______________,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pPr>
        <w:pStyle w:val="Normal"/>
        <w:spacing w:lineRule="auto" w:line="240" w:before="0" w:after="0"/>
        <w:jc w:val="center"/>
        <w:rPr>
          <w:rFonts w:cs="Calibri"/>
          <w:b/>
          <w:b/>
          <w:bCs/>
          <w:sz w:val="20"/>
          <w:szCs w:val="20"/>
        </w:rPr>
      </w:pPr>
      <w:r>
        <w:rPr>
          <w:rFonts w:cs="Calibri"/>
          <w:b/>
          <w:bCs/>
          <w:sz w:val="20"/>
          <w:szCs w:val="20"/>
        </w:rPr>
        <w:t>dichiara</w:t>
      </w:r>
    </w:p>
    <w:p>
      <w:pPr>
        <w:pStyle w:val="Normal"/>
        <w:spacing w:lineRule="auto" w:line="240" w:before="0" w:after="0"/>
        <w:jc w:val="center"/>
        <w:rPr>
          <w:rFonts w:cs="Times-New-Roman"/>
          <w:color w:val="000000"/>
          <w:sz w:val="20"/>
          <w:szCs w:val="20"/>
        </w:rPr>
      </w:pPr>
      <w:r>
        <w:rPr>
          <w:rFonts w:cs="Times-New-Roman"/>
          <w:color w:val="000000"/>
          <w:sz w:val="20"/>
          <w:szCs w:val="20"/>
        </w:rPr>
      </w:r>
    </w:p>
    <w:tbl>
      <w:tblPr>
        <w:tblW w:w="1030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536"/>
        <w:gridCol w:w="783"/>
        <w:gridCol w:w="708"/>
        <w:gridCol w:w="1275"/>
      </w:tblGrid>
      <w:tr>
        <w:trPr>
          <w:trHeight w:val="483"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da compilare a cura dell'interessato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18"/>
                <w:szCs w:val="18"/>
              </w:rPr>
            </w:pPr>
            <w:r>
              <w:rPr>
                <w:sz w:val="18"/>
                <w:szCs w:val="18"/>
              </w:rPr>
              <w:t xml:space="preserve">Anni </w:t>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18"/>
                <w:szCs w:val="18"/>
              </w:rPr>
            </w:pPr>
            <w:r>
              <w:rPr>
                <w:sz w:val="18"/>
                <w:szCs w:val="18"/>
              </w:rPr>
              <w:t xml:space="preserve">Punti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Riservato al Dir.Scol. </w:t>
            </w:r>
          </w:p>
        </w:tc>
      </w:tr>
      <w:tr>
        <w:trPr>
          <w:trHeight w:val="460" w:hRule="atLeast"/>
        </w:trPr>
        <w:tc>
          <w:tcPr>
            <w:tcW w:w="7536" w:type="dxa"/>
            <w:tcBorders>
              <w:top w:val="single" w:sz="4" w:space="0" w:color="000000"/>
              <w:left w:val="single" w:sz="4" w:space="0" w:color="000000"/>
              <w:bottom w:val="single" w:sz="4" w:space="0" w:color="000000"/>
              <w:right w:val="single" w:sz="4" w:space="0" w:color="000000"/>
            </w:tcBorders>
            <w:vAlign w:val="center"/>
          </w:tcPr>
          <w:p>
            <w:pPr>
              <w:pStyle w:val="CM8"/>
              <w:widowControl w:val="false"/>
              <w:spacing w:before="0" w:after="145"/>
              <w:rPr>
                <w:sz w:val="21"/>
                <w:szCs w:val="21"/>
              </w:rPr>
            </w:pPr>
            <w:r>
              <w:rPr>
                <w:sz w:val="21"/>
                <w:szCs w:val="21"/>
              </w:rPr>
              <w:t xml:space="preserve">I -ANZIANITÀ DI SERVIZIO: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470"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b/>
                <w:b/>
                <w:sz w:val="18"/>
                <w:szCs w:val="18"/>
              </w:rPr>
            </w:pPr>
            <w:r>
              <w:rPr>
                <w:sz w:val="18"/>
                <w:szCs w:val="18"/>
              </w:rPr>
              <w:t xml:space="preserve">A) per ogni anno di servizio comunque prestato, successivamente alla decorrenza giuridica della nomina, nel ruolo di appartenenza(l)                                                                           </w:t>
            </w:r>
            <w:r>
              <w:rPr>
                <w:b/>
                <w:sz w:val="18"/>
                <w:szCs w:val="18"/>
              </w:rPr>
              <w:t>Punti 6</w:t>
            </w:r>
            <w:r>
              <w:rPr>
                <w:sz w:val="18"/>
                <w:szCs w:val="18"/>
              </w:rPr>
              <w:t xml:space="preserve"> (comune)</w:t>
            </w:r>
          </w:p>
          <w:p>
            <w:pPr>
              <w:pStyle w:val="Default"/>
              <w:widowControl w:val="false"/>
              <w:jc w:val="both"/>
              <w:rPr>
                <w:sz w:val="18"/>
                <w:szCs w:val="18"/>
              </w:rPr>
            </w:pPr>
            <w:r>
              <w:rPr>
                <w:b/>
                <w:sz w:val="18"/>
                <w:szCs w:val="18"/>
              </w:rPr>
              <w:t xml:space="preserve">                                                                                                                                  </w:t>
            </w:r>
            <w:r>
              <w:rPr>
                <w:b/>
                <w:sz w:val="18"/>
                <w:szCs w:val="18"/>
              </w:rPr>
              <w:t>Punti 12</w:t>
            </w:r>
            <w:r>
              <w:rPr>
                <w:sz w:val="18"/>
                <w:szCs w:val="18"/>
              </w:rPr>
              <w:t xml:space="preserve"> (sostegno)</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700"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Al) per ogni anno di servizio effettivamente prestato (2) dopo la nomina nel ruolo di appartenenza (1) in scuole o istituti situati nelle piccole isole (3) in aggiunta al punteggio di cui al punto A)           </w:t>
            </w:r>
          </w:p>
          <w:p>
            <w:pPr>
              <w:pStyle w:val="Default"/>
              <w:widowControl w:val="false"/>
              <w:rPr>
                <w:sz w:val="18"/>
                <w:szCs w:val="18"/>
              </w:rPr>
            </w:pPr>
            <w:r>
              <w:rPr>
                <w:b/>
                <w:sz w:val="18"/>
                <w:szCs w:val="18"/>
              </w:rPr>
              <w:t xml:space="preserve">                                                                                                                                     </w:t>
            </w:r>
            <w:r>
              <w:rPr>
                <w:b/>
                <w:sz w:val="18"/>
                <w:szCs w:val="18"/>
              </w:rPr>
              <w:t>Punti 6</w:t>
            </w:r>
            <w:r>
              <w:rPr>
                <w:sz w:val="18"/>
                <w:szCs w:val="18"/>
              </w:rPr>
              <w:t xml:space="preserve">  (comune)</w:t>
            </w:r>
          </w:p>
          <w:p>
            <w:pPr>
              <w:pStyle w:val="Default"/>
              <w:widowControl w:val="false"/>
              <w:rPr>
                <w:sz w:val="18"/>
                <w:szCs w:val="18"/>
              </w:rPr>
            </w:pPr>
            <w:r>
              <w:rPr>
                <w:b/>
                <w:sz w:val="18"/>
                <w:szCs w:val="18"/>
              </w:rPr>
              <w:t xml:space="preserve">                                                                                                                                 </w:t>
            </w:r>
            <w:r>
              <w:rPr>
                <w:b/>
                <w:sz w:val="18"/>
                <w:szCs w:val="18"/>
              </w:rPr>
              <w:t>Punti 12</w:t>
            </w:r>
            <w:r>
              <w:rPr>
                <w:sz w:val="18"/>
                <w:szCs w:val="18"/>
              </w:rPr>
              <w:t xml:space="preserve"> (sostegno)</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698"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B) per ogni anno di servizio preruolo o di altro servizio di ruolo riconosciuto o riconoscibile ai fini della carriera e per ogni anno di servizio preruolo o di altro servizio di ruolo prestato nella scuola dell’infanzia (4)                                                                                                                          </w:t>
            </w:r>
            <w:r>
              <w:rPr>
                <w:b/>
                <w:sz w:val="18"/>
                <w:szCs w:val="18"/>
              </w:rPr>
              <w:t>Punti 3</w:t>
            </w:r>
            <w:r>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930"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B1) 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(4) in aggiunta al punteggio di cui al punto B)                                                                                </w:t>
            </w:r>
            <w:r>
              <w:rPr>
                <w:b/>
                <w:sz w:val="18"/>
                <w:szCs w:val="18"/>
              </w:rPr>
              <w:t>Punti 3</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1186"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B2) (valido solo per i docenti della scuola primaria) per ogni anno di servizio di ruolo effettivamente prestato come "specialista" per l'insegnamento della lingua straniera dall'anno scolastico 92/93 fino </w:t>
            </w:r>
          </w:p>
          <w:p>
            <w:pPr>
              <w:pStyle w:val="Default"/>
              <w:widowControl w:val="false"/>
              <w:rPr>
                <w:sz w:val="18"/>
                <w:szCs w:val="18"/>
              </w:rPr>
            </w:pPr>
            <w:r>
              <w:rPr>
                <w:sz w:val="18"/>
                <w:szCs w:val="18"/>
              </w:rPr>
              <w:t xml:space="preserve">all' anno scolastico 97/98 (in aggiunta al punteggio di cui alle lettere B e B1) rispettivamente: </w:t>
            </w:r>
          </w:p>
          <w:p>
            <w:pPr>
              <w:pStyle w:val="Default"/>
              <w:widowControl w:val="false"/>
              <w:rPr>
                <w:sz w:val="18"/>
                <w:szCs w:val="18"/>
              </w:rPr>
            </w:pPr>
            <w:r>
              <w:rPr>
                <w:rFonts w:cs="Arial" w:ascii="Arial" w:hAnsi="Arial"/>
                <w:sz w:val="15"/>
                <w:szCs w:val="15"/>
              </w:rPr>
              <w:t>-</w:t>
            </w:r>
            <w:r>
              <w:rPr>
                <w:sz w:val="18"/>
                <w:szCs w:val="18"/>
              </w:rPr>
              <w:t xml:space="preserve">se il servizio </w:t>
            </w:r>
            <w:r>
              <w:rPr>
                <w:sz w:val="4"/>
                <w:szCs w:val="4"/>
              </w:rPr>
              <w:t xml:space="preserve">é </w:t>
            </w:r>
            <w:r>
              <w:rPr>
                <w:sz w:val="18"/>
                <w:szCs w:val="18"/>
              </w:rPr>
              <w:t xml:space="preserve">prestato nell'ambito del plesso di titolarità .....................                                   </w:t>
            </w:r>
            <w:r>
              <w:rPr>
                <w:b/>
                <w:sz w:val="18"/>
                <w:szCs w:val="18"/>
              </w:rPr>
              <w:t>Punti 0,5</w:t>
            </w:r>
            <w:r>
              <w:rPr>
                <w:sz w:val="18"/>
                <w:szCs w:val="18"/>
              </w:rPr>
              <w:t xml:space="preserve"> </w:t>
            </w:r>
          </w:p>
          <w:p>
            <w:pPr>
              <w:pStyle w:val="Default"/>
              <w:widowControl w:val="false"/>
              <w:rPr>
                <w:sz w:val="18"/>
                <w:szCs w:val="18"/>
              </w:rPr>
            </w:pPr>
            <w:r>
              <w:rPr>
                <w:rFonts w:cs="Arial" w:ascii="Arial" w:hAnsi="Arial"/>
                <w:sz w:val="15"/>
                <w:szCs w:val="15"/>
              </w:rPr>
              <w:t>-</w:t>
            </w:r>
            <w:r>
              <w:rPr>
                <w:sz w:val="18"/>
                <w:szCs w:val="18"/>
              </w:rPr>
              <w:t xml:space="preserve">se il servizio </w:t>
            </w:r>
            <w:r>
              <w:rPr>
                <w:sz w:val="4"/>
                <w:szCs w:val="4"/>
              </w:rPr>
              <w:t xml:space="preserve">é </w:t>
            </w:r>
            <w:r>
              <w:rPr>
                <w:sz w:val="18"/>
                <w:szCs w:val="18"/>
              </w:rPr>
              <w:t xml:space="preserve">stato prestato al di fuori del plesso di titolarità ................                                   </w:t>
            </w:r>
            <w:r>
              <w:rPr>
                <w:b/>
                <w:sz w:val="18"/>
                <w:szCs w:val="18"/>
              </w:rPr>
              <w:t>Punti 1</w:t>
            </w:r>
            <w:r>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1627"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b/>
                <w:sz w:val="18"/>
                <w:szCs w:val="18"/>
              </w:rPr>
              <w:t>Punti 6</w:t>
            </w:r>
            <w:r>
              <w:rPr>
                <w:sz w:val="18"/>
                <w:szCs w:val="18"/>
              </w:rPr>
              <w:t xml:space="preserve"> </w:t>
            </w:r>
          </w:p>
          <w:p>
            <w:pPr>
              <w:pStyle w:val="Default"/>
              <w:widowControl w:val="false"/>
              <w:rPr>
                <w:sz w:val="18"/>
                <w:szCs w:val="18"/>
              </w:rPr>
            </w:pPr>
            <w:r>
              <w:rPr>
                <w:sz w:val="18"/>
                <w:szCs w:val="18"/>
              </w:rPr>
              <w:t>Per ogni ulteriore anno di servizio:</w:t>
            </w:r>
          </w:p>
          <w:p>
            <w:pPr>
              <w:pStyle w:val="Default"/>
              <w:widowControl w:val="false"/>
              <w:rPr>
                <w:sz w:val="18"/>
                <w:szCs w:val="18"/>
              </w:rPr>
            </w:pPr>
            <w:r>
              <w:rPr>
                <w:sz w:val="18"/>
                <w:szCs w:val="18"/>
              </w:rPr>
              <w:t xml:space="preserve"> </w:t>
            </w:r>
            <w:r>
              <w:rPr>
                <w:sz w:val="18"/>
                <w:szCs w:val="18"/>
              </w:rPr>
              <w:t xml:space="preserve">entro il quinquennio                                                                                                                   </w:t>
            </w:r>
            <w:r>
              <w:rPr>
                <w:b/>
                <w:sz w:val="18"/>
                <w:szCs w:val="18"/>
              </w:rPr>
              <w:t>Punti 2</w:t>
            </w:r>
            <w:r>
              <w:rPr>
                <w:sz w:val="18"/>
                <w:szCs w:val="18"/>
              </w:rPr>
              <w:t xml:space="preserve"> </w:t>
            </w:r>
          </w:p>
          <w:p>
            <w:pPr>
              <w:pStyle w:val="Default"/>
              <w:widowControl w:val="false"/>
              <w:rPr>
                <w:sz w:val="18"/>
                <w:szCs w:val="18"/>
              </w:rPr>
            </w:pPr>
            <w:r>
              <w:rPr>
                <w:sz w:val="18"/>
                <w:szCs w:val="18"/>
              </w:rPr>
              <w:t xml:space="preserve">oltre il quinquennio                                                                                                                     </w:t>
            </w:r>
            <w:r>
              <w:rPr>
                <w:b/>
                <w:sz w:val="18"/>
                <w:szCs w:val="18"/>
              </w:rPr>
              <w:t>Punti 3</w:t>
            </w:r>
          </w:p>
          <w:p>
            <w:pPr>
              <w:pStyle w:val="Default"/>
              <w:widowControl w:val="false"/>
              <w:rPr>
                <w:sz w:val="18"/>
                <w:szCs w:val="18"/>
              </w:rPr>
            </w:pPr>
            <w:r>
              <w:rPr>
                <w:sz w:val="18"/>
                <w:szCs w:val="18"/>
              </w:rPr>
              <w:t xml:space="preserve"> </w:t>
            </w:r>
            <w:r>
              <w:rPr>
                <w:sz w:val="18"/>
                <w:szCs w:val="18"/>
              </w:rPr>
              <w:t xml:space="preserve">per il servizio prestato nelle piccole isole il punteggio si raddoppia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534" w:hRule="atLeast"/>
        </w:trPr>
        <w:tc>
          <w:tcPr>
            <w:tcW w:w="7536" w:type="dxa"/>
            <w:tcBorders>
              <w:top w:val="single" w:sz="4" w:space="0" w:color="000000"/>
              <w:left w:val="single" w:sz="4" w:space="0" w:color="000000"/>
              <w:bottom w:val="single" w:sz="4" w:space="0" w:color="000000"/>
              <w:right w:val="single" w:sz="4" w:space="0" w:color="000000"/>
            </w:tcBorders>
          </w:tcPr>
          <w:p>
            <w:pPr>
              <w:pStyle w:val="Testo"/>
              <w:widowControl w:val="false"/>
              <w:ind w:left="0" w:hanging="0"/>
              <w:rPr>
                <w:sz w:val="18"/>
                <w:szCs w:val="18"/>
                <w:u w:val="none" w:color="FF0000"/>
              </w:rPr>
            </w:pPr>
            <w:r>
              <w:rPr>
                <w:sz w:val="18"/>
                <w:szCs w:val="18"/>
                <w:u w:val="none" w:color="FF0000"/>
              </w:rPr>
              <w:t xml:space="preserve">C 0) Per ogni anno di servizio di ruolo prestato nella sede di attuale titolarità senza soluzione di continuità in aggiunta a quello previsto dalle lettere A), A1), B), B1), B2), B3) ...………… </w:t>
            </w:r>
            <w:r>
              <w:rPr>
                <w:b/>
                <w:sz w:val="18"/>
                <w:szCs w:val="18"/>
                <w:u w:val="none" w:color="FF0000"/>
              </w:rPr>
              <w:t xml:space="preserve">Punti 1 </w:t>
            </w:r>
          </w:p>
        </w:tc>
        <w:tc>
          <w:tcPr>
            <w:tcW w:w="783" w:type="dxa"/>
            <w:tcBorders>
              <w:top w:val="single" w:sz="4" w:space="0" w:color="000000"/>
              <w:left w:val="single" w:sz="4" w:space="0" w:color="000000"/>
              <w:bottom w:val="single" w:sz="4" w:space="0" w:color="000000"/>
              <w:right w:val="single" w:sz="4" w:space="0" w:color="000000"/>
            </w:tcBorders>
          </w:tcPr>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1995"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Cl) per i docenti della scuola primaria: </w:t>
            </w:r>
          </w:p>
          <w:p>
            <w:pPr>
              <w:pStyle w:val="Default"/>
              <w:widowControl w:val="false"/>
              <w:rPr>
                <w:sz w:val="18"/>
                <w:szCs w:val="18"/>
              </w:rPr>
            </w:pPr>
            <w:r>
              <w:rPr>
                <w:sz w:val="18"/>
                <w:szCs w:val="18"/>
              </w:rPr>
              <w:t>per il servizio di ruolo effettivamente prestato per un solo triennio senza soluzione di continuità, a partire dall' anno scolastico 92/93 fino all' anno scolastico 97/98, come docente "</w:t>
            </w:r>
            <w:r>
              <w:rPr>
                <w:i/>
                <w:sz w:val="18"/>
                <w:szCs w:val="18"/>
              </w:rPr>
              <w:t>specializzato"</w:t>
            </w:r>
            <w:r>
              <w:rPr>
                <w:sz w:val="18"/>
                <w:szCs w:val="18"/>
              </w:rPr>
              <w:t xml:space="preserve"> per l'insegnamento della lingua straniera (in aggiunta a quello previsto dalle lettere A), Al), B), B2), C)                                                                                                     </w:t>
            </w:r>
          </w:p>
          <w:p>
            <w:pPr>
              <w:pStyle w:val="Default"/>
              <w:widowControl w:val="false"/>
              <w:rPr>
                <w:sz w:val="18"/>
                <w:szCs w:val="18"/>
              </w:rPr>
            </w:pPr>
            <w:r>
              <w:rPr>
                <w:sz w:val="18"/>
                <w:szCs w:val="18"/>
              </w:rPr>
              <w:t xml:space="preserve">                                                                                                                                                   </w:t>
            </w:r>
            <w:r>
              <w:rPr>
                <w:b/>
                <w:sz w:val="18"/>
                <w:szCs w:val="18"/>
              </w:rPr>
              <w:t>Punti 1,5</w:t>
            </w:r>
          </w:p>
          <w:p>
            <w:pPr>
              <w:pStyle w:val="Default"/>
              <w:widowControl w:val="false"/>
              <w:rPr>
                <w:sz w:val="18"/>
                <w:szCs w:val="18"/>
              </w:rPr>
            </w:pPr>
            <w:r>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pPr>
              <w:pStyle w:val="Default"/>
              <w:widowControl w:val="false"/>
              <w:rPr>
                <w:sz w:val="18"/>
                <w:szCs w:val="18"/>
              </w:rPr>
            </w:pPr>
            <w:r>
              <w:rPr>
                <w:sz w:val="18"/>
                <w:szCs w:val="18"/>
              </w:rPr>
              <w:t xml:space="preserve">                                                                                                                                                     </w:t>
            </w:r>
            <w:r>
              <w:rPr>
                <w:b/>
                <w:sz w:val="18"/>
                <w:szCs w:val="18"/>
              </w:rPr>
              <w:t>Punti 3</w:t>
            </w:r>
            <w:r>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t xml:space="preserve">    </w:t>
            </w:r>
          </w:p>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962" w:hRule="atLeast"/>
        </w:trPr>
        <w:tc>
          <w:tcPr>
            <w:tcW w:w="7536"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b/>
                <w:sz w:val="18"/>
                <w:szCs w:val="18"/>
              </w:rPr>
              <w:t>Punti l0</w:t>
            </w:r>
            <w:r>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bl>
    <w:p>
      <w:pPr>
        <w:pStyle w:val="Default"/>
        <w:rPr>
          <w:rFonts w:cs="Times New Roman"/>
          <w:color w:val="auto"/>
        </w:rPr>
      </w:pPr>
      <w:r>
        <w:rPr>
          <w:rFonts w:cs="Times New Roman"/>
          <w:color w:val="auto"/>
        </w:rPr>
      </w:r>
    </w:p>
    <w:p>
      <w:pPr>
        <w:pStyle w:val="Default"/>
        <w:rPr>
          <w:rFonts w:cs="Times New Roman"/>
          <w:color w:val="auto"/>
        </w:rPr>
      </w:pPr>
      <w:r>
        <w:rPr>
          <w:rFonts w:cs="Times New Roman"/>
          <w:color w:val="auto"/>
        </w:rPr>
      </w:r>
    </w:p>
    <w:p>
      <w:pPr>
        <w:pStyle w:val="Default"/>
        <w:rPr>
          <w:rFonts w:cs="Times New Roman"/>
          <w:color w:val="auto"/>
        </w:rPr>
      </w:pPr>
      <w:r>
        <w:rPr>
          <w:rFonts w:cs="Times New Roman"/>
          <w:color w:val="auto"/>
        </w:rPr>
      </w:r>
    </w:p>
    <w:p>
      <w:pPr>
        <w:pStyle w:val="Default"/>
        <w:rPr>
          <w:sz w:val="21"/>
          <w:szCs w:val="21"/>
        </w:rPr>
      </w:pPr>
      <w:r>
        <w:rPr>
          <w:sz w:val="21"/>
          <w:szCs w:val="21"/>
        </w:rPr>
      </w:r>
    </w:p>
    <w:p>
      <w:pPr>
        <w:pStyle w:val="Default"/>
        <w:rPr>
          <w:rFonts w:cs="Times New Roman"/>
          <w:color w:val="auto"/>
        </w:rPr>
      </w:pPr>
      <w:r>
        <w:rPr>
          <w:sz w:val="21"/>
          <w:szCs w:val="21"/>
        </w:rPr>
        <w:t>II -ESIGENZE DI FAMIGLIA (6) (7):</w:t>
      </w:r>
    </w:p>
    <w:tbl>
      <w:tblPr>
        <w:tblW w:w="1035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720"/>
        <w:gridCol w:w="1361"/>
        <w:gridCol w:w="1272"/>
      </w:tblGrid>
      <w:tr>
        <w:trPr>
          <w:trHeight w:val="315" w:hRule="atLeast"/>
        </w:trPr>
        <w:tc>
          <w:tcPr>
            <w:tcW w:w="7720"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Tipo di esigenza</w:t>
            </w:r>
          </w:p>
        </w:tc>
        <w:tc>
          <w:tcPr>
            <w:tcW w:w="1361" w:type="dxa"/>
            <w:tcBorders>
              <w:top w:val="single" w:sz="4" w:space="0" w:color="000000"/>
              <w:left w:val="single" w:sz="4" w:space="0" w:color="000000"/>
              <w:bottom w:val="single" w:sz="4" w:space="0" w:color="000000"/>
              <w:right w:val="single" w:sz="4" w:space="0" w:color="000000"/>
            </w:tcBorders>
          </w:tcPr>
          <w:p>
            <w:pPr>
              <w:pStyle w:val="Default"/>
              <w:widowControl w:val="false"/>
              <w:rPr/>
            </w:pPr>
            <w:r>
              <w:rPr/>
              <w:t>Punti</w:t>
            </w:r>
          </w:p>
        </w:tc>
        <w:tc>
          <w:tcPr>
            <w:tcW w:w="1272"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Riservato al Dir.Scol.</w:t>
            </w:r>
          </w:p>
        </w:tc>
      </w:tr>
      <w:tr>
        <w:trPr>
          <w:trHeight w:val="670" w:hRule="atLeast"/>
        </w:trPr>
        <w:tc>
          <w:tcPr>
            <w:tcW w:w="7720"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A) per ricongiungimento al coniuge ovvero, nel caso di docenti senza coniuge o separati giudizialmente o consensualmente con atto omologato dal tribunale, per ricongiungimento ai genitori o ai figli (7)                       </w:t>
            </w:r>
          </w:p>
          <w:p>
            <w:pPr>
              <w:pStyle w:val="Default"/>
              <w:widowControl w:val="false"/>
              <w:rPr>
                <w:b/>
                <w:b/>
                <w:sz w:val="18"/>
                <w:szCs w:val="18"/>
              </w:rPr>
            </w:pPr>
            <w:r>
              <w:rPr>
                <w:sz w:val="18"/>
                <w:szCs w:val="18"/>
              </w:rPr>
              <w:t xml:space="preserve">                                                                                                                                                       </w:t>
            </w:r>
            <w:r>
              <w:rPr>
                <w:b/>
                <w:sz w:val="18"/>
                <w:szCs w:val="18"/>
              </w:rPr>
              <w:t xml:space="preserve">Punti 6 </w:t>
            </w:r>
          </w:p>
        </w:tc>
        <w:tc>
          <w:tcPr>
            <w:tcW w:w="1361"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72"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240" w:hRule="atLeast"/>
        </w:trPr>
        <w:tc>
          <w:tcPr>
            <w:tcW w:w="7720"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sz w:val="18"/>
                <w:szCs w:val="18"/>
              </w:rPr>
            </w:pPr>
            <w:r>
              <w:rPr>
                <w:sz w:val="18"/>
                <w:szCs w:val="18"/>
              </w:rPr>
              <w:t xml:space="preserve">B) per ogni figlio di età inferiore a sei anni (8)                                                                             </w:t>
            </w:r>
            <w:r>
              <w:rPr>
                <w:b/>
                <w:sz w:val="18"/>
                <w:szCs w:val="18"/>
              </w:rPr>
              <w:t>Punti 4</w:t>
            </w:r>
            <w:r>
              <w:rPr>
                <w:sz w:val="18"/>
                <w:szCs w:val="18"/>
              </w:rPr>
              <w:t xml:space="preserve"> </w:t>
            </w:r>
          </w:p>
        </w:tc>
        <w:tc>
          <w:tcPr>
            <w:tcW w:w="1361"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72"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700" w:hRule="atLeast"/>
        </w:trPr>
        <w:tc>
          <w:tcPr>
            <w:tcW w:w="7720"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C) per ogni figlio di età superiore ai sei anni, ma che non abbia superato il diciottesimo anno di età (8) ovvero per ogni figlio maggiorenne che risulti totalmente o permanentemente inabile a proficuo lavoro  </w:t>
            </w:r>
          </w:p>
          <w:p>
            <w:pPr>
              <w:pStyle w:val="Default"/>
              <w:widowControl w:val="false"/>
              <w:rPr>
                <w:b/>
                <w:b/>
                <w:sz w:val="18"/>
                <w:szCs w:val="18"/>
              </w:rPr>
            </w:pPr>
            <w:r>
              <w:rPr>
                <w:sz w:val="18"/>
                <w:szCs w:val="18"/>
              </w:rPr>
              <w:t xml:space="preserve">                                                                                                                                                       </w:t>
            </w:r>
            <w:r>
              <w:rPr>
                <w:b/>
                <w:sz w:val="18"/>
                <w:szCs w:val="18"/>
              </w:rPr>
              <w:t xml:space="preserve">Punti 3 </w:t>
            </w:r>
          </w:p>
        </w:tc>
        <w:tc>
          <w:tcPr>
            <w:tcW w:w="1361"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72"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695" w:hRule="atLeast"/>
        </w:trPr>
        <w:tc>
          <w:tcPr>
            <w:tcW w:w="7720"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b/>
                <w:sz w:val="18"/>
                <w:szCs w:val="18"/>
              </w:rPr>
              <w:t>Punti 6</w:t>
            </w:r>
            <w:r>
              <w:rPr>
                <w:sz w:val="18"/>
                <w:szCs w:val="18"/>
              </w:rPr>
              <w:t xml:space="preserve"> </w:t>
            </w:r>
          </w:p>
        </w:tc>
        <w:tc>
          <w:tcPr>
            <w:tcW w:w="1361"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72"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bl>
    <w:p>
      <w:pPr>
        <w:pStyle w:val="Default"/>
        <w:rPr>
          <w:rFonts w:cs="Times New Roman"/>
          <w:color w:val="auto"/>
        </w:rPr>
      </w:pPr>
      <w:r>
        <w:rPr>
          <w:rFonts w:cs="Times New Roman"/>
          <w:color w:val="auto"/>
        </w:rPr>
      </w:r>
    </w:p>
    <w:p>
      <w:pPr>
        <w:pStyle w:val="CM8"/>
        <w:rPr>
          <w:sz w:val="21"/>
          <w:szCs w:val="21"/>
        </w:rPr>
      </w:pPr>
      <w:r>
        <w:rPr>
          <w:sz w:val="21"/>
          <w:szCs w:val="21"/>
        </w:rPr>
        <w:t xml:space="preserve">III -TITOLI GENERALI (15): </w:t>
      </w:r>
    </w:p>
    <w:tbl>
      <w:tblPr>
        <w:tblW w:w="1036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733"/>
        <w:gridCol w:w="1350"/>
        <w:gridCol w:w="1280"/>
      </w:tblGrid>
      <w:tr>
        <w:trPr>
          <w:trHeight w:val="394" w:hRule="atLeast"/>
        </w:trPr>
        <w:tc>
          <w:tcPr>
            <w:tcW w:w="7733"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sz w:val="16"/>
                <w:szCs w:val="16"/>
              </w:rPr>
            </w:pPr>
            <w:r>
              <w:rPr>
                <w:sz w:val="16"/>
                <w:szCs w:val="16"/>
              </w:rPr>
              <w:t xml:space="preserve">Tipo di titolo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pPr>
            <w:r>
              <w:rPr/>
              <w:t xml:space="preserve">Punti </w:t>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sz w:val="18"/>
                <w:szCs w:val="18"/>
              </w:rPr>
            </w:pPr>
            <w:r>
              <w:rPr>
                <w:sz w:val="18"/>
                <w:szCs w:val="18"/>
              </w:rPr>
              <w:t xml:space="preserve">Riservato al Dir.Scol. </w:t>
            </w:r>
          </w:p>
        </w:tc>
      </w:tr>
      <w:tr>
        <w:trPr>
          <w:trHeight w:val="625"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A) per il superamento di un pubblico concorso ordinario per esami e titoli, per l'accesso al ruolo di appartenenza (1), al momento della presentazione della domanda, o a ruoli di livello pari o superiore a quello di appartenenza (10)   </w:t>
            </w:r>
          </w:p>
          <w:p>
            <w:pPr>
              <w:pStyle w:val="Default"/>
              <w:widowControl w:val="false"/>
              <w:rPr>
                <w:rFonts w:ascii="Arial" w:hAnsi="Arial" w:cs="Arial"/>
                <w:b/>
                <w:b/>
                <w:sz w:val="16"/>
                <w:szCs w:val="16"/>
              </w:rPr>
            </w:pPr>
            <w:r>
              <w:rPr>
                <w:sz w:val="16"/>
                <w:szCs w:val="16"/>
              </w:rPr>
              <w:t xml:space="preserve">                                                                                                                                                                         </w:t>
            </w:r>
            <w:r>
              <w:rPr>
                <w:b/>
                <w:sz w:val="16"/>
                <w:szCs w:val="16"/>
              </w:rPr>
              <w:t>Punti 12</w:t>
            </w:r>
            <w:r>
              <w:rPr>
                <w:rFonts w:cs="Arial" w:ascii="Arial" w:hAnsi="Arial"/>
                <w:b/>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1555"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pPr>
              <w:pStyle w:val="Default"/>
              <w:widowControl w:val="false"/>
              <w:rPr>
                <w:sz w:val="16"/>
                <w:szCs w:val="16"/>
              </w:rPr>
            </w:pPr>
            <w:r>
              <w:rPr>
                <w:sz w:val="16"/>
                <w:szCs w:val="16"/>
              </w:rPr>
              <w:t xml:space="preserve">per ogni diploma                                                                                                                                                </w:t>
            </w:r>
            <w:r>
              <w:rPr>
                <w:b/>
                <w:sz w:val="16"/>
                <w:szCs w:val="16"/>
              </w:rPr>
              <w:t>Punti 5</w:t>
            </w:r>
          </w:p>
          <w:p>
            <w:pPr>
              <w:pStyle w:val="Default"/>
              <w:widowControl w:val="false"/>
              <w:rPr>
                <w:sz w:val="16"/>
                <w:szCs w:val="16"/>
              </w:rPr>
            </w:pPr>
            <w:r>
              <w:rPr>
                <w:sz w:val="16"/>
                <w:szCs w:val="16"/>
              </w:rPr>
              <w:t xml:space="preserve">(è valutabile un solo diploma, per lo stesso o gli stessi anni accademici o di corso)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557"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16"/>
                <w:szCs w:val="16"/>
              </w:rPr>
            </w:pPr>
            <w:r>
              <w:rPr>
                <w:sz w:val="16"/>
                <w:szCs w:val="16"/>
              </w:rPr>
              <w:t>C) per ogni diploma universitario (diploma accademico di primo livello, laurea di primo livello o breve o diploma Istituto Superiore di Educazione Fisica (ISEF), conseguito oltre al titolo di studio attualmente necessario per</w:t>
            </w:r>
          </w:p>
          <w:p>
            <w:pPr>
              <w:pStyle w:val="Default"/>
              <w:widowControl w:val="false"/>
              <w:rPr>
                <w:sz w:val="16"/>
                <w:szCs w:val="16"/>
              </w:rPr>
            </w:pPr>
            <w:r>
              <w:rPr>
                <w:sz w:val="16"/>
                <w:szCs w:val="16"/>
              </w:rPr>
              <w:t xml:space="preserve">    </w:t>
            </w:r>
            <w:r>
              <w:rPr>
                <w:sz w:val="16"/>
                <w:szCs w:val="16"/>
              </w:rPr>
              <w:t xml:space="preserve">l'accesso al ruolo di appartenenza (12)                                                                                                          </w:t>
            </w:r>
            <w:r>
              <w:rPr>
                <w:b/>
                <w:sz w:val="16"/>
                <w:szCs w:val="16"/>
              </w:rPr>
              <w:t>Punti 3</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rFonts w:cs="Times New Roman"/>
                <w:color w:val="auto"/>
              </w:rPr>
            </w:pPr>
            <w:r>
              <w:rPr>
                <w:rFonts w:cs="Times New Roman"/>
                <w:color w:val="auto"/>
              </w:rPr>
            </w:r>
          </w:p>
        </w:tc>
      </w:tr>
      <w:tr>
        <w:trPr>
          <w:trHeight w:val="1260"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pPr>
              <w:pStyle w:val="Default"/>
              <w:widowControl w:val="false"/>
              <w:rPr>
                <w:rFonts w:ascii="Arial" w:hAnsi="Arial" w:cs="Arial"/>
                <w:sz w:val="16"/>
                <w:szCs w:val="16"/>
              </w:rPr>
            </w:pPr>
            <w:r>
              <w:rPr>
                <w:sz w:val="16"/>
                <w:szCs w:val="16"/>
              </w:rPr>
              <w:t xml:space="preserve">- per ogni corso                                                                                                                                                 </w:t>
            </w:r>
            <w:r>
              <w:rPr>
                <w:b/>
                <w:sz w:val="16"/>
                <w:szCs w:val="16"/>
              </w:rPr>
              <w:t xml:space="preserve">Punti </w:t>
            </w:r>
            <w:r>
              <w:rPr>
                <w:rFonts w:cs="Arial" w:ascii="Arial" w:hAnsi="Arial"/>
                <w:b/>
                <w:sz w:val="16"/>
                <w:szCs w:val="16"/>
              </w:rPr>
              <w:t>1</w:t>
            </w:r>
            <w:r>
              <w:rPr>
                <w:rFonts w:cs="Arial" w:ascii="Arial" w:hAnsi="Arial"/>
                <w:sz w:val="16"/>
                <w:szCs w:val="16"/>
              </w:rPr>
              <w:t xml:space="preserve"> </w:t>
            </w:r>
          </w:p>
          <w:p>
            <w:pPr>
              <w:pStyle w:val="Default"/>
              <w:widowControl w:val="false"/>
              <w:rPr>
                <w:sz w:val="16"/>
                <w:szCs w:val="16"/>
              </w:rPr>
            </w:pPr>
            <w:r>
              <w:rPr>
                <w:sz w:val="16"/>
                <w:szCs w:val="16"/>
              </w:rPr>
              <w:t xml:space="preserve">(è valutabile un solo corso, per lo stesso o gli stessi anni accademici)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960"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31/12/2012-L. n. 228/2012) conseguito oltre al titolo di studio attualmente necessario per l'accesso al ruolo di appartenenza (12) ...                                                                                                                                         </w:t>
            </w:r>
            <w:r>
              <w:rPr>
                <w:b/>
                <w:sz w:val="16"/>
                <w:szCs w:val="16"/>
              </w:rPr>
              <w:t>Punti 5</w:t>
            </w:r>
            <w:r>
              <w:rPr>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413"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F) per il conseguimento del titolo di "dottorato di ricerca"                                                                              </w:t>
            </w:r>
            <w:r>
              <w:rPr>
                <w:b/>
                <w:sz w:val="16"/>
                <w:szCs w:val="16"/>
              </w:rPr>
              <w:t>Punti 5</w:t>
            </w:r>
          </w:p>
          <w:p>
            <w:pPr>
              <w:pStyle w:val="Default"/>
              <w:widowControl w:val="false"/>
              <w:rPr>
                <w:sz w:val="16"/>
                <w:szCs w:val="16"/>
              </w:rPr>
            </w:pPr>
            <w:r>
              <w:rPr>
                <w:sz w:val="16"/>
                <w:szCs w:val="16"/>
              </w:rPr>
              <w:t xml:space="preserve">(si valuta un solo titolo)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688"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Arial" w:hAnsi="Arial" w:cs="Arial"/>
                <w:sz w:val="16"/>
                <w:szCs w:val="16"/>
              </w:rPr>
            </w:pPr>
            <w:r>
              <w:rPr>
                <w:sz w:val="16"/>
                <w:szCs w:val="16"/>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                                                                                                                         </w:t>
            </w:r>
            <w:r>
              <w:rPr>
                <w:b/>
                <w:sz w:val="16"/>
                <w:szCs w:val="16"/>
              </w:rPr>
              <w:t xml:space="preserve">Punti </w:t>
            </w:r>
            <w:r>
              <w:rPr>
                <w:rFonts w:cs="Arial" w:ascii="Arial" w:hAnsi="Arial"/>
                <w:b/>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816"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Arial" w:hAnsi="Arial" w:cs="Arial"/>
                <w:sz w:val="16"/>
                <w:szCs w:val="16"/>
              </w:rPr>
            </w:pPr>
            <w:r>
              <w:rPr>
                <w:sz w:val="16"/>
                <w:szCs w:val="16"/>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b/>
                <w:sz w:val="16"/>
                <w:szCs w:val="16"/>
              </w:rPr>
              <w:t xml:space="preserve">Punti </w:t>
            </w:r>
            <w:r>
              <w:rPr>
                <w:rFonts w:cs="Arial" w:ascii="Arial" w:hAnsi="Arial"/>
                <w:b/>
                <w:sz w:val="16"/>
                <w:szCs w:val="16"/>
              </w:rPr>
              <w:t>1</w:t>
            </w:r>
            <w:r>
              <w:rPr>
                <w:rFonts w:cs="Arial" w:ascii="Arial" w:hAnsi="Arial"/>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465"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Pr>
                <w:b/>
                <w:sz w:val="16"/>
                <w:szCs w:val="16"/>
              </w:rPr>
              <w:t xml:space="preserve">Punti </w:t>
            </w:r>
            <w:r>
              <w:rPr>
                <w:rFonts w:cs="Arial" w:ascii="Arial" w:hAnsi="Arial"/>
                <w:b/>
                <w:sz w:val="16"/>
                <w:szCs w:val="16"/>
              </w:rPr>
              <w:t>1</w:t>
            </w:r>
          </w:p>
          <w:p>
            <w:pPr>
              <w:pStyle w:val="Default"/>
              <w:widowControl w:val="false"/>
              <w:rPr>
                <w:sz w:val="16"/>
                <w:szCs w:val="16"/>
              </w:rPr>
            </w:pPr>
            <w:r>
              <w:rPr>
                <w:sz w:val="16"/>
                <w:szCs w:val="16"/>
              </w:rPr>
              <w:t>N.B.: il certificato viene rilasciato solo a chi</w:t>
            </w:r>
          </w:p>
          <w:p>
            <w:pPr>
              <w:pStyle w:val="Default"/>
              <w:widowControl w:val="false"/>
              <w:numPr>
                <w:ilvl w:val="0"/>
                <w:numId w:val="2"/>
              </w:numPr>
              <w:rPr>
                <w:sz w:val="16"/>
                <w:szCs w:val="16"/>
              </w:rPr>
            </w:pPr>
            <w:r>
              <w:rPr>
                <w:sz w:val="16"/>
                <w:szCs w:val="16"/>
              </w:rPr>
              <w:t>È in possesso di certificazione di Livello C1 del QCER (art 4 comma 2)</w:t>
            </w:r>
          </w:p>
          <w:p>
            <w:pPr>
              <w:pStyle w:val="Default"/>
              <w:widowControl w:val="false"/>
              <w:numPr>
                <w:ilvl w:val="0"/>
                <w:numId w:val="2"/>
              </w:numPr>
              <w:rPr>
                <w:sz w:val="16"/>
                <w:szCs w:val="16"/>
              </w:rPr>
            </w:pPr>
            <w:r>
              <w:rPr>
                <w:sz w:val="16"/>
                <w:szCs w:val="16"/>
              </w:rPr>
              <w:t>Ha frequentato il corso metodologico</w:t>
            </w:r>
          </w:p>
          <w:p>
            <w:pPr>
              <w:pStyle w:val="Default"/>
              <w:widowControl w:val="false"/>
              <w:numPr>
                <w:ilvl w:val="0"/>
                <w:numId w:val="2"/>
              </w:numPr>
              <w:rPr>
                <w:sz w:val="16"/>
                <w:szCs w:val="16"/>
              </w:rPr>
            </w:pPr>
            <w:r>
              <w:rPr>
                <w:sz w:val="16"/>
                <w:szCs w:val="16"/>
              </w:rPr>
              <w:t>Sostenuto la prova finale</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465"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pPr>
              <w:pStyle w:val="Default"/>
              <w:widowControl w:val="false"/>
              <w:rPr>
                <w:b/>
                <w:b/>
                <w:sz w:val="16"/>
                <w:szCs w:val="16"/>
              </w:rPr>
            </w:pPr>
            <w:r>
              <w:rPr>
                <w:sz w:val="16"/>
                <w:szCs w:val="16"/>
              </w:rPr>
              <w:t xml:space="preserve">                                                                                                                                                                         </w:t>
            </w:r>
            <w:r>
              <w:rPr>
                <w:b/>
                <w:sz w:val="16"/>
                <w:szCs w:val="16"/>
              </w:rPr>
              <w:t>Punti 0,5</w:t>
            </w:r>
          </w:p>
          <w:p>
            <w:pPr>
              <w:pStyle w:val="Default"/>
              <w:widowControl w:val="false"/>
              <w:rPr>
                <w:sz w:val="16"/>
                <w:szCs w:val="16"/>
              </w:rPr>
            </w:pPr>
            <w:r>
              <w:rPr>
                <w:sz w:val="16"/>
                <w:szCs w:val="16"/>
              </w:rPr>
              <w:t>N.B.: in questo caso il docente ha una competenza linguistica B2 NON certificata, ma ha frequentato il corso e superato l’esame finale.</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465" w:hRule="atLeast"/>
        </w:trPr>
        <w:tc>
          <w:tcPr>
            <w:tcW w:w="7733" w:type="dxa"/>
            <w:tcBorders>
              <w:top w:val="single" w:sz="4" w:space="0" w:color="000000"/>
              <w:left w:val="single" w:sz="4" w:space="0" w:color="000000"/>
              <w:bottom w:val="single" w:sz="4" w:space="0" w:color="000000"/>
              <w:right w:val="single" w:sz="4" w:space="0" w:color="000000"/>
            </w:tcBorders>
          </w:tcPr>
          <w:p>
            <w:pPr>
              <w:pStyle w:val="Default"/>
              <w:widowControl w:val="false"/>
              <w:rPr>
                <w:b/>
                <w:b/>
                <w:i/>
                <w:i/>
                <w:sz w:val="16"/>
                <w:szCs w:val="16"/>
              </w:rPr>
            </w:pPr>
            <w:r>
              <w:rPr>
                <w:b/>
                <w:i/>
                <w:sz w:val="16"/>
                <w:szCs w:val="16"/>
              </w:rPr>
              <w:t xml:space="preserve">N.B. i titoli relativi a  B), C), D), E), F), G),  I), L), anche cumulabili tra di loro, sono valutati fino ad un massimo di                                                                                                                                                                      Punti  l0 </w:t>
            </w:r>
          </w:p>
        </w:tc>
        <w:tc>
          <w:tcPr>
            <w:tcW w:w="135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c>
          <w:tcPr>
            <w:tcW w:w="1280"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Times New Roman"/>
                <w:color w:val="auto"/>
              </w:rPr>
            </w:pPr>
            <w:r>
              <w:rPr>
                <w:rFonts w:cs="Times New Roman"/>
                <w:color w:val="auto"/>
              </w:rPr>
            </w:r>
          </w:p>
        </w:tc>
      </w:tr>
      <w:tr>
        <w:trPr>
          <w:trHeight w:val="240" w:hRule="atLeast"/>
        </w:trPr>
        <w:tc>
          <w:tcPr>
            <w:tcW w:w="7733"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b/>
                <w:b/>
                <w:sz w:val="16"/>
                <w:szCs w:val="16"/>
              </w:rPr>
            </w:pPr>
            <w:r>
              <w:rPr>
                <w:b/>
                <w:sz w:val="16"/>
                <w:szCs w:val="16"/>
              </w:rPr>
              <w:t xml:space="preserve">TOTALE PUNTI </w:t>
            </w:r>
          </w:p>
        </w:tc>
        <w:tc>
          <w:tcPr>
            <w:tcW w:w="1350" w:type="dxa"/>
            <w:tcBorders>
              <w:top w:val="single" w:sz="4" w:space="0" w:color="000000"/>
              <w:left w:val="single" w:sz="4" w:space="0" w:color="000000"/>
              <w:bottom w:val="single" w:sz="4" w:space="0" w:color="000000"/>
            </w:tcBorders>
          </w:tcPr>
          <w:p>
            <w:pPr>
              <w:pStyle w:val="Default"/>
              <w:widowControl w:val="false"/>
              <w:rPr>
                <w:rFonts w:cs="Times New Roman"/>
                <w:b/>
                <w:b/>
                <w:color w:val="auto"/>
              </w:rPr>
            </w:pPr>
            <w:r>
              <w:rPr>
                <w:rFonts w:cs="Times New Roman"/>
                <w:b/>
                <w:color w:val="auto"/>
              </w:rPr>
            </w:r>
          </w:p>
        </w:tc>
        <w:tc>
          <w:tcPr>
            <w:tcW w:w="1280" w:type="dxa"/>
            <w:tcBorders>
              <w:top w:val="single" w:sz="4" w:space="0" w:color="000000"/>
              <w:bottom w:val="single" w:sz="4" w:space="0" w:color="000000"/>
              <w:right w:val="single" w:sz="4" w:space="0" w:color="000000"/>
            </w:tcBorders>
          </w:tcPr>
          <w:p>
            <w:pPr>
              <w:pStyle w:val="Default"/>
              <w:widowControl w:val="false"/>
              <w:rPr>
                <w:rFonts w:cs="Times New Roman"/>
                <w:b/>
                <w:b/>
                <w:color w:val="auto"/>
              </w:rPr>
            </w:pPr>
            <w:r>
              <w:rPr>
                <w:rFonts w:cs="Times New Roman"/>
                <w:b/>
                <w:color w:val="auto"/>
              </w:rPr>
            </w:r>
          </w:p>
        </w:tc>
      </w:tr>
    </w:tbl>
    <w:p>
      <w:pPr>
        <w:pStyle w:val="Corpodeltesto"/>
        <w:rPr/>
      </w:pPr>
      <w:r>
        <w:rPr/>
        <w:t>* Si allega una dichiarazione, conforme agli all. D), F)</w:t>
      </w:r>
    </w:p>
    <w:p>
      <w:pPr>
        <w:pStyle w:val="Corpodeltesto"/>
        <w:rPr/>
      </w:pPr>
      <w:r>
        <w:rPr/>
        <w:t>**Si allegano i seguenti documenti attestanti il possesso dei titoli di cui ai punti II (esigenze di famiglia) e III (titoli generali):</w:t>
      </w:r>
    </w:p>
    <w:p>
      <w:pPr>
        <w:pStyle w:val="Default"/>
        <w:spacing w:lineRule="atLeast" w:line="196"/>
        <w:ind w:left="5713" w:hanging="5712"/>
        <w:rPr>
          <w:rFonts w:ascii="Times New Roman" w:hAnsi="Times New Roman" w:cs="Times New Roman"/>
          <w:color w:val="auto"/>
          <w:sz w:val="18"/>
          <w:szCs w:val="18"/>
        </w:rPr>
      </w:pPr>
      <w:r>
        <w:rPr>
          <w:rFonts w:cs="Times New Roman" w:ascii="Times New Roman" w:hAnsi="Times New Roman"/>
          <w:color w:val="auto"/>
          <w:sz w:val="18"/>
          <w:szCs w:val="18"/>
        </w:rPr>
      </w:r>
    </w:p>
    <w:p>
      <w:pPr>
        <w:pStyle w:val="Default"/>
        <w:spacing w:lineRule="atLeast" w:line="196"/>
        <w:ind w:left="5713" w:hanging="5712"/>
        <w:rPr>
          <w:rFonts w:ascii="Times New Roman" w:hAnsi="Times New Roman" w:cs="Times New Roman"/>
          <w:color w:val="auto"/>
          <w:sz w:val="18"/>
          <w:szCs w:val="18"/>
        </w:rPr>
      </w:pPr>
      <w:r>
        <w:rPr>
          <w:rFonts w:cs="Times New Roman" w:ascii="Times New Roman" w:hAnsi="Times New Roman"/>
          <w:color w:val="auto"/>
          <w:sz w:val="18"/>
          <w:szCs w:val="18"/>
        </w:rPr>
      </w:r>
    </w:p>
    <w:p>
      <w:pPr>
        <w:pStyle w:val="Default"/>
        <w:spacing w:lineRule="atLeast" w:line="196"/>
        <w:ind w:left="5713" w:hanging="5712"/>
        <w:rPr>
          <w:rFonts w:ascii="Times New Roman" w:hAnsi="Times New Roman" w:cs="Times New Roman"/>
          <w:color w:val="auto"/>
          <w:sz w:val="18"/>
          <w:szCs w:val="18"/>
        </w:rPr>
      </w:pPr>
      <w:r>
        <w:rPr>
          <w:rFonts w:cs="Times New Roman" w:ascii="Times New Roman" w:hAnsi="Times New Roman"/>
          <w:color w:val="auto"/>
          <w:sz w:val="18"/>
          <w:szCs w:val="18"/>
        </w:rPr>
        <w:t xml:space="preserve">Data .......................................                                             firma .............................................................................................. . </w:t>
      </w:r>
    </w:p>
    <w:p>
      <w:pPr>
        <w:pStyle w:val="Default"/>
        <w:spacing w:lineRule="atLeast" w:line="196"/>
        <w:ind w:left="5713" w:hanging="5712"/>
        <w:rPr>
          <w:rFonts w:ascii="Times New Roman" w:hAnsi="Times New Roman" w:cs="Times New Roman"/>
          <w:color w:val="auto"/>
          <w:sz w:val="18"/>
          <w:szCs w:val="18"/>
        </w:rPr>
      </w:pPr>
      <w:r>
        <w:rPr>
          <w:rFonts w:cs="Times New Roman" w:ascii="Times New Roman" w:hAnsi="Times New Roman"/>
          <w:color w:val="auto"/>
          <w:sz w:val="18"/>
          <w:szCs w:val="18"/>
        </w:rPr>
      </w:r>
    </w:p>
    <w:p>
      <w:pPr>
        <w:pStyle w:val="Testo"/>
        <w:rPr>
          <w:sz w:val="18"/>
          <w:szCs w:val="18"/>
          <w:u w:val="none" w:color="FF0000"/>
        </w:rPr>
      </w:pPr>
      <w:r>
        <w:rPr>
          <w:sz w:val="18"/>
          <w:szCs w:val="18"/>
          <w:u w:val="none" w:color="FF0000"/>
        </w:rPr>
        <w:t>NOTE COMUNI ALLE TABELLE DEI TRASFERIMENTI A DOMANDA E D’UFFICIO E DEI PASSAGGI DEI DOCENTI DELLE SCUOLE DELL’INFANZIA, PRIMARIA, SECONDARIA DI I GRADO E DEGLI ISTITUTI DI ISTRUZIONE SECONDARIA DI II GRADO ED ARTISTICA E DEL PERSONALE EDUCATIVO</w:t>
      </w:r>
    </w:p>
    <w:p>
      <w:pPr>
        <w:pStyle w:val="Testo"/>
        <w:rPr>
          <w:sz w:val="18"/>
          <w:szCs w:val="18"/>
          <w:u w:val="none" w:color="FF0000"/>
        </w:rPr>
      </w:pPr>
      <w:r>
        <w:rPr>
          <w:sz w:val="18"/>
          <w:szCs w:val="18"/>
          <w:u w:val="none" w:color="FF0000"/>
        </w:rPr>
      </w:r>
    </w:p>
    <w:p>
      <w:pPr>
        <w:pStyle w:val="Testo"/>
        <w:jc w:val="center"/>
        <w:rPr>
          <w:sz w:val="18"/>
          <w:szCs w:val="18"/>
          <w:u w:val="none" w:color="FF0000"/>
        </w:rPr>
      </w:pPr>
      <w:r>
        <w:rPr>
          <w:sz w:val="18"/>
          <w:szCs w:val="18"/>
          <w:u w:val="none" w:color="FF0000"/>
        </w:rPr>
        <w:t>P R E M E S S 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Ai fini dell’attribuzione del punteggio per le domande di trasferimento, per le domande di passaggio di ruolo e per l’individuazione del perdente posto si precisa quanto segue:</w:t>
      </w:r>
    </w:p>
    <w:p>
      <w:pPr>
        <w:pStyle w:val="Testo"/>
        <w:rPr>
          <w:sz w:val="18"/>
          <w:szCs w:val="18"/>
          <w:u w:val="none" w:color="FF0000"/>
        </w:rPr>
      </w:pPr>
      <w:r>
        <w:rPr>
          <w:sz w:val="18"/>
          <w:szCs w:val="18"/>
          <w:u w:val="none" w:color="FF0000"/>
        </w:rPr>
        <w:t>- nell’anzianità di servizio non si tiene conto dell’anno scolastico in corso;</w:t>
      </w:r>
    </w:p>
    <w:p>
      <w:pPr>
        <w:pStyle w:val="Testo"/>
        <w:rPr>
          <w:sz w:val="18"/>
          <w:szCs w:val="18"/>
          <w:u w:val="none" w:color="FF0000"/>
        </w:rPr>
      </w:pPr>
      <w:r>
        <w:rPr>
          <w:sz w:val="18"/>
          <w:szCs w:val="18"/>
          <w:u w:val="none" w:color="FF0000"/>
        </w:rPr>
        <w:t>- nella valutazione dei titoli vengono considerati quelli posseduti entro il termine previsto per la presentazione della domanda;</w:t>
      </w:r>
    </w:p>
    <w:p>
      <w:pPr>
        <w:pStyle w:val="Testo"/>
        <w:rPr>
          <w:sz w:val="18"/>
          <w:szCs w:val="18"/>
          <w:u w:val="none" w:color="FF0000"/>
        </w:rPr>
      </w:pPr>
      <w:r>
        <w:rPr>
          <w:sz w:val="18"/>
          <w:szCs w:val="18"/>
          <w:u w:val="none" w:color="FF0000"/>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pPr>
        <w:pStyle w:val="Testo"/>
        <w:rPr>
          <w:sz w:val="18"/>
          <w:szCs w:val="18"/>
          <w:u w:val="none" w:color="FF0000"/>
        </w:rPr>
      </w:pPr>
      <w:r>
        <w:rPr>
          <w:sz w:val="18"/>
          <w:szCs w:val="18"/>
          <w:u w:val="none" w:color="FF0000"/>
        </w:rPr>
      </w:r>
    </w:p>
    <w:p>
      <w:pPr>
        <w:pStyle w:val="Testo"/>
        <w:rPr>
          <w:bCs/>
          <w:sz w:val="18"/>
          <w:szCs w:val="18"/>
          <w:u w:val="none" w:color="FF0000"/>
        </w:rPr>
      </w:pPr>
      <w:r>
        <w:rPr>
          <w:sz w:val="18"/>
          <w:szCs w:val="18"/>
          <w:u w:val="none"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Pr>
          <w:bCs/>
          <w:sz w:val="18"/>
          <w:szCs w:val="18"/>
          <w:u w:val="none" w:color="FF0000"/>
        </w:rPr>
        <w:t>ed i</w:t>
      </w:r>
      <w:r>
        <w:rPr>
          <w:sz w:val="18"/>
          <w:szCs w:val="18"/>
          <w:u w:val="none" w:color="FF0000"/>
        </w:rPr>
        <w:t xml:space="preserve"> </w:t>
      </w:r>
      <w:r>
        <w:rPr>
          <w:bCs/>
          <w:sz w:val="18"/>
          <w:szCs w:val="18"/>
          <w:u w:val="none"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pPr>
        <w:pStyle w:val="Testo"/>
        <w:rPr>
          <w:sz w:val="18"/>
          <w:szCs w:val="18"/>
          <w:u w:val="none" w:color="FF0000"/>
        </w:rPr>
      </w:pPr>
      <w:r>
        <w:rPr>
          <w:sz w:val="18"/>
          <w:szCs w:val="18"/>
          <w:u w:val="none"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pPr>
        <w:pStyle w:val="Testo"/>
        <w:rPr>
          <w:sz w:val="18"/>
          <w:szCs w:val="18"/>
          <w:u w:val="none" w:color="FF0000"/>
        </w:rPr>
      </w:pPr>
      <w:r>
        <w:rPr>
          <w:sz w:val="18"/>
          <w:szCs w:val="18"/>
          <w:u w:val="none" w:color="FF0000"/>
        </w:rPr>
        <w:t>La valutazione del servizio di cui alle lettere A), A1) e B) è riconosciuta anche al personale proveniente dagli Enti Locali e che abbia svolto, prima del trasferimento allo Stato, effettivo servizio di docente nelle scuole statali.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pPr>
        <w:pStyle w:val="Testo"/>
        <w:rPr>
          <w:sz w:val="18"/>
          <w:szCs w:val="18"/>
          <w:u w:val="none" w:color="FF0000"/>
        </w:rPr>
      </w:pPr>
      <w:r>
        <w:rPr>
          <w:sz w:val="18"/>
          <w:szCs w:val="18"/>
          <w:u w:val="none"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primi 4 anni  (valutati per intero)        </w:t>
      </w:r>
      <w:r>
        <w:rPr>
          <w:rFonts w:eastAsia="Symbol" w:cs="Symbol" w:ascii="Symbol" w:hAnsi="Symbol"/>
          <w:sz w:val="18"/>
          <w:szCs w:val="18"/>
          <w:u w:val="none" w:color="FF0000"/>
        </w:rPr>
        <w:t>Þ</w:t>
      </w:r>
      <w:r>
        <w:rPr>
          <w:sz w:val="18"/>
          <w:szCs w:val="18"/>
          <w:u w:val="none" w:color="FF0000"/>
        </w:rPr>
        <w:t xml:space="preserve">            4 anni  x 3 punti  = 12 punti</w:t>
      </w:r>
    </w:p>
    <w:p>
      <w:pPr>
        <w:pStyle w:val="Testo"/>
        <w:rPr>
          <w:sz w:val="18"/>
          <w:szCs w:val="18"/>
          <w:u w:val="none" w:color="FF0000"/>
        </w:rPr>
      </w:pPr>
      <w:r>
        <w:rPr>
          <w:sz w:val="18"/>
          <w:szCs w:val="18"/>
          <w:u w:val="none" w:color="FF0000"/>
        </w:rPr>
        <w:t xml:space="preserve">rimanenti  2 anni (valutati due terzi)   </w:t>
      </w:r>
      <w:r>
        <w:rPr>
          <w:rFonts w:eastAsia="Symbol" w:cs="Symbol" w:ascii="Symbol" w:hAnsi="Symbol"/>
          <w:sz w:val="18"/>
          <w:szCs w:val="18"/>
          <w:u w:val="none" w:color="FF0000"/>
        </w:rPr>
        <w:t>Þ</w:t>
      </w:r>
      <w:r>
        <w:rPr>
          <w:sz w:val="18"/>
          <w:szCs w:val="18"/>
          <w:u w:val="none" w:color="FF0000"/>
        </w:rPr>
        <w:t xml:space="preserve">    2/3 x 2 anni x 3 punti  =  4  punti</w:t>
      </w:r>
    </w:p>
    <w:p>
      <w:pPr>
        <w:pStyle w:val="Testo"/>
        <w:rPr>
          <w:sz w:val="18"/>
          <w:szCs w:val="18"/>
          <w:u w:val="none" w:color="FF0000"/>
        </w:rPr>
      </w:pPr>
      <w:r>
        <w:rPr>
          <w:sz w:val="18"/>
          <w:szCs w:val="18"/>
          <w:u w:val="none" w:color="FF0000"/>
        </w:rPr>
        <w:t>_______</w:t>
      </w:r>
    </w:p>
    <w:p>
      <w:pPr>
        <w:pStyle w:val="Testo"/>
        <w:rPr>
          <w:sz w:val="18"/>
          <w:szCs w:val="18"/>
          <w:u w:val="none" w:color="FF0000"/>
        </w:rPr>
      </w:pPr>
      <w:r>
        <w:rPr>
          <w:sz w:val="18"/>
          <w:szCs w:val="18"/>
          <w:u w:val="none" w:color="FF0000"/>
        </w:rPr>
        <w:t xml:space="preserve">totale:     12 punti  + 4 punti                </w:t>
      </w:r>
      <w:r>
        <w:rPr>
          <w:rFonts w:eastAsia="Symbol" w:cs="Symbol" w:ascii="Symbol" w:hAnsi="Symbol"/>
          <w:sz w:val="18"/>
          <w:szCs w:val="18"/>
          <w:u w:val="none" w:color="FF0000"/>
        </w:rPr>
        <w:t>Þ</w:t>
      </w:r>
      <w:r>
        <w:rPr>
          <w:sz w:val="18"/>
          <w:szCs w:val="18"/>
          <w:u w:val="none" w:color="FF0000"/>
        </w:rPr>
        <w:t xml:space="preserve">                                           16 punti.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40 in quella d’ufficio.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pPr>
        <w:pStyle w:val="Testo"/>
        <w:rPr>
          <w:sz w:val="18"/>
          <w:szCs w:val="18"/>
          <w:u w:val="none" w:color="FF0000"/>
        </w:rPr>
      </w:pPr>
      <w:r>
        <w:rPr>
          <w:sz w:val="18"/>
          <w:szCs w:val="18"/>
          <w:u w:val="none" w:color="FF0000"/>
        </w:rPr>
        <w:t>Il servizio prestato nelle scuole paritarie non è valutabile in quanto non riconoscibile ai fini della ricostruzione di carriera.</w:t>
      </w:r>
    </w:p>
    <w:p>
      <w:pPr>
        <w:pStyle w:val="Testo"/>
        <w:rPr>
          <w:sz w:val="18"/>
          <w:szCs w:val="18"/>
          <w:u w:val="none" w:color="FF0000"/>
        </w:rPr>
      </w:pPr>
      <w:r>
        <w:rPr>
          <w:sz w:val="18"/>
          <w:szCs w:val="18"/>
          <w:u w:val="none"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pPr>
        <w:pStyle w:val="Testo"/>
        <w:rPr>
          <w:sz w:val="18"/>
          <w:szCs w:val="18"/>
          <w:u w:val="none" w:color="FF0000"/>
        </w:rPr>
      </w:pPr>
      <w:r>
        <w:rPr>
          <w:sz w:val="18"/>
          <w:szCs w:val="18"/>
          <w:u w:val="none" w:color="FF0000"/>
        </w:rPr>
        <w:t>N O T E</w:t>
      </w:r>
    </w:p>
    <w:p>
      <w:pPr>
        <w:pStyle w:val="Testo"/>
        <w:rPr>
          <w:sz w:val="18"/>
          <w:szCs w:val="18"/>
          <w:u w:val="none" w:color="FF0000"/>
        </w:rPr>
      </w:pPr>
      <w:r>
        <w:rPr>
          <w:sz w:val="18"/>
          <w:szCs w:val="18"/>
          <w:u w:val="none" w:color="FF0000"/>
        </w:rPr>
        <w:t>(1) Il ruolo di appartenenza va riferito rispettivamente: a) alla scuola dell’infanzia; b) alla scuola primaria; c) alla scuola secondaria di I grado; d) agli istituti di istruzione secondaria di II grado e artistica.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Va valutato nella misura prevista dalla presente voce il servizio prestato, a decorrere dall'anno scolastico 1978/79, dalle assistenti di scuola materna statale utilizzate, ai sensi dell'articolo 8 della legge n. 463/78, come insegnanti di scuola materna.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pPr>
        <w:pStyle w:val="Testo"/>
        <w:rPr>
          <w:sz w:val="18"/>
          <w:szCs w:val="18"/>
          <w:u w:val="none" w:color="FF0000"/>
        </w:rPr>
      </w:pPr>
      <w:r>
        <w:rPr>
          <w:sz w:val="18"/>
          <w:szCs w:val="18"/>
          <w:u w:val="none" w:color="FF0000"/>
        </w:rPr>
      </w:r>
    </w:p>
    <w:p>
      <w:pPr>
        <w:pStyle w:val="Testo"/>
        <w:rPr>
          <w:b/>
          <w:b/>
          <w:sz w:val="18"/>
          <w:szCs w:val="18"/>
          <w:u w:val="single"/>
        </w:rPr>
      </w:pPr>
      <w:r>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pPr>
        <w:pStyle w:val="Testo"/>
        <w:rPr>
          <w:b/>
          <w:b/>
          <w:sz w:val="18"/>
          <w:szCs w:val="18"/>
          <w:u w:val="single"/>
        </w:rPr>
      </w:pPr>
      <w:r>
        <w:rPr>
          <w:b/>
          <w:sz w:val="18"/>
          <w:szCs w:val="18"/>
          <w:u w:val="single"/>
        </w:rPr>
      </w:r>
    </w:p>
    <w:p>
      <w:pPr>
        <w:pStyle w:val="Testo"/>
        <w:rPr>
          <w:sz w:val="18"/>
          <w:szCs w:val="18"/>
          <w:u w:val="none" w:color="FF0000"/>
        </w:rPr>
      </w:pPr>
      <w:r>
        <w:rPr>
          <w:sz w:val="18"/>
          <w:szCs w:val="18"/>
          <w:u w:val="none"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Per ogni anno di servizio prestato nei paesi in via di sviluppo il punteggio è raddoppiato.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(3) La dizione “piccole isole” è comprensiva di tutte le isole del territorio italiano, ad eccezione, ovviamente, delle due isole maggiori (Sicilia e Sardegna).</w:t>
      </w:r>
    </w:p>
    <w:p>
      <w:pPr>
        <w:pStyle w:val="Testo"/>
        <w:rPr>
          <w:sz w:val="18"/>
          <w:szCs w:val="18"/>
          <w:u w:val="none" w:color="FF0000"/>
        </w:rPr>
      </w:pPr>
      <w:r>
        <w:rPr>
          <w:sz w:val="18"/>
          <w:szCs w:val="18"/>
          <w:u w:val="none" w:color="FF0000"/>
        </w:rPr>
        <w:t xml:space="preserve">Il punteggio aggiuntivo previsto per il servizio prestato nelle piccole isole è attribuito indipendentemente dal luogo di residenza dell’interessato.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pPr>
        <w:pStyle w:val="Testo"/>
        <w:rPr>
          <w:sz w:val="18"/>
          <w:szCs w:val="18"/>
          <w:u w:val="none" w:color="FF0000"/>
        </w:rPr>
      </w:pPr>
      <w:r>
        <w:rPr>
          <w:sz w:val="18"/>
          <w:szCs w:val="18"/>
          <w:u w:val="none"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pPr>
        <w:pStyle w:val="Testo"/>
        <w:rPr>
          <w:sz w:val="18"/>
          <w:szCs w:val="18"/>
          <w:u w:val="none" w:color="FF0000"/>
        </w:rPr>
      </w:pPr>
      <w:r>
        <w:rPr>
          <w:sz w:val="18"/>
          <w:szCs w:val="18"/>
          <w:u w:val="none"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pPr>
        <w:pStyle w:val="Testo"/>
        <w:rPr>
          <w:sz w:val="18"/>
          <w:szCs w:val="18"/>
          <w:u w:val="none" w:color="FF0000"/>
        </w:rPr>
      </w:pPr>
      <w:r>
        <w:rPr>
          <w:sz w:val="18"/>
          <w:szCs w:val="18"/>
          <w:u w:val="none"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Nella stessa misura va valutato, altresì, il servizio del personale educativo transitato nel ruolo degli insegnanti della scuola primaria e viceversa.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pPr>
        <w:pStyle w:val="Testo"/>
        <w:rPr>
          <w:sz w:val="18"/>
          <w:szCs w:val="18"/>
          <w:u w:val="none" w:color="FF0000"/>
        </w:rPr>
      </w:pPr>
      <w:r>
        <w:rPr>
          <w:sz w:val="18"/>
          <w:szCs w:val="18"/>
          <w:u w:val="none" w:color="FF0000"/>
        </w:rPr>
        <w:t>Per la scuola primaria, il trasferimento tra i posti dell’organico (comune e lingua) nello stesso circolo non interrompe la continuità di servizio.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pPr>
        <w:pStyle w:val="Testo"/>
        <w:rPr>
          <w:sz w:val="18"/>
          <w:szCs w:val="18"/>
          <w:u w:val="none" w:color="FF0000"/>
        </w:rPr>
      </w:pPr>
      <w:r>
        <w:rPr>
          <w:sz w:val="18"/>
          <w:szCs w:val="18"/>
          <w:u w:val="none" w:color="FF0000"/>
        </w:rPr>
        <w:t>Da tale ultimo requisito si prescinde limitatamente al solo personale beneficiario della precedenza di cui all’art. 7, titolo I, punto II), - Personale trasferito d’ufficio nell’ultimo ottennio del presente contratto.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Si precisa che il punteggio in questione viene riconosciuto anche per la formulazione della graduatoria interna di istituto ai fini dell’individuazione del soprannumerario da trasferire d’ufficio.</w:t>
      </w:r>
    </w:p>
    <w:p>
      <w:pPr>
        <w:pStyle w:val="Testo"/>
        <w:rPr>
          <w:sz w:val="18"/>
          <w:szCs w:val="18"/>
          <w:u w:val="none" w:color="FF0000"/>
        </w:rPr>
      </w:pPr>
      <w:r>
        <w:rPr>
          <w:sz w:val="18"/>
          <w:szCs w:val="18"/>
          <w:u w:val="none" w:color="FF0000"/>
        </w:rPr>
        <w:t>La continuità didattica, legata alla scuola di ex-titolarità, del personale scolastico trasferito d’ufficio nell’ultimo ottennio va considerata ai fini della sola domanda di trasferimento e non anche della domanda di passaggio.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Il punteggio va attribuito se la scuola di titolarità giuridica e la scuola in cui l'interessato ha prestato servizio continuativo coincidono per il periodo considerato.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Non va valutato l'anno scolastico in corso al momento della presentazione della domanda.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r>
    </w:p>
    <w:tbl>
      <w:tblPr>
        <w:tblW w:w="8364" w:type="dxa"/>
        <w:jc w:val="left"/>
        <w:tblInd w:w="638" w:type="dxa"/>
        <w:tblLayout w:type="fixed"/>
        <w:tblCellMar>
          <w:top w:w="0" w:type="dxa"/>
          <w:left w:w="70" w:type="dxa"/>
          <w:bottom w:w="0" w:type="dxa"/>
          <w:right w:w="70" w:type="dxa"/>
        </w:tblCellMar>
        <w:tblLook w:firstRow="0" w:noVBand="0" w:lastRow="0" w:firstColumn="0" w:lastColumn="0" w:noHBand="0" w:val="0000"/>
      </w:tblPr>
      <w:tblGrid>
        <w:gridCol w:w="6947"/>
        <w:gridCol w:w="1416"/>
      </w:tblGrid>
      <w:tr>
        <w:trPr/>
        <w:tc>
          <w:tcPr>
            <w:tcW w:w="6947" w:type="dxa"/>
            <w:tcBorders>
              <w:top w:val="single" w:sz="6" w:space="0" w:color="000000"/>
              <w:left w:val="single" w:sz="6" w:space="0" w:color="000000"/>
              <w:bottom w:val="single" w:sz="6" w:space="0" w:color="000000"/>
              <w:right w:val="single" w:sz="6" w:space="0" w:color="000000"/>
            </w:tcBorders>
          </w:tcPr>
          <w:p>
            <w:pPr>
              <w:pStyle w:val="Testo"/>
              <w:widowControl w:val="false"/>
              <w:rPr>
                <w:sz w:val="18"/>
                <w:szCs w:val="18"/>
                <w:u w:val="none" w:color="FF0000"/>
              </w:rPr>
            </w:pPr>
            <w:r>
              <w:rPr>
                <w:sz w:val="18"/>
                <w:szCs w:val="18"/>
                <w:u w:val="none" w:color="FF0000"/>
              </w:rPr>
              <w:t xml:space="preserve">C) Per ogni anno di servizio di ruolo prestato nella scuola di attuale titolarità senza  soluzione di continuità in aggiunta a quello previsto dalle lettere A), A1), B), B1), B2), B3) </w:t>
            </w:r>
          </w:p>
          <w:p>
            <w:pPr>
              <w:pStyle w:val="Testo"/>
              <w:widowControl w:val="false"/>
              <w:rPr>
                <w:sz w:val="18"/>
                <w:szCs w:val="18"/>
                <w:u w:val="none" w:color="FF0000"/>
              </w:rPr>
            </w:pPr>
            <w:r>
              <w:rPr>
                <w:sz w:val="18"/>
                <w:szCs w:val="18"/>
                <w:u w:val="none" w:color="FF0000"/>
              </w:rPr>
              <w:t>-  entro  il  quinquennio.................................................................……………</w:t>
            </w:r>
          </w:p>
          <w:p>
            <w:pPr>
              <w:pStyle w:val="Testo"/>
              <w:widowControl w:val="false"/>
              <w:rPr>
                <w:sz w:val="18"/>
                <w:szCs w:val="18"/>
                <w:u w:val="none" w:color="FF0000"/>
              </w:rPr>
            </w:pPr>
            <w:r>
              <w:rPr>
                <w:sz w:val="18"/>
                <w:szCs w:val="18"/>
                <w:u w:val="none" w:color="FF0000"/>
              </w:rPr>
              <w:t>-  oltre   il  quinquennio ……………………………………………………....</w:t>
            </w:r>
          </w:p>
        </w:tc>
        <w:tc>
          <w:tcPr>
            <w:tcW w:w="1416" w:type="dxa"/>
            <w:tcBorders>
              <w:top w:val="single" w:sz="6" w:space="0" w:color="000000"/>
              <w:left w:val="single" w:sz="6" w:space="0" w:color="000000"/>
              <w:bottom w:val="single" w:sz="6" w:space="0" w:color="000000"/>
              <w:right w:val="single" w:sz="6" w:space="0" w:color="000000"/>
            </w:tcBorders>
          </w:tcPr>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t>Punti 2</w:t>
            </w:r>
          </w:p>
          <w:p>
            <w:pPr>
              <w:pStyle w:val="Testo"/>
              <w:widowControl w:val="false"/>
              <w:rPr>
                <w:sz w:val="18"/>
                <w:szCs w:val="18"/>
                <w:u w:val="none" w:color="FF0000"/>
              </w:rPr>
            </w:pPr>
            <w:r>
              <w:rPr>
                <w:sz w:val="18"/>
                <w:szCs w:val="18"/>
                <w:u w:val="none" w:color="FF0000"/>
              </w:rPr>
              <w:t xml:space="preserve">Punti 3 </w:t>
            </w:r>
          </w:p>
          <w:p>
            <w:pPr>
              <w:pStyle w:val="Testo"/>
              <w:widowControl w:val="false"/>
              <w:rPr>
                <w:sz w:val="18"/>
                <w:szCs w:val="18"/>
                <w:u w:val="none" w:color="FF0000"/>
              </w:rPr>
            </w:pPr>
            <w:r>
              <w:rPr>
                <w:sz w:val="18"/>
                <w:szCs w:val="18"/>
                <w:u w:val="none" w:color="FF0000"/>
              </w:rPr>
            </w:r>
          </w:p>
        </w:tc>
      </w:tr>
    </w:tbl>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Sempre ai fini della formazione della graduatoria per l’individuazione del soprannumerario ed ai fini del trasferimento d’ufficio, viene valutata anche la continuità di servizio nella sede di attuale titolarità, nella seguente misura:</w:t>
      </w:r>
    </w:p>
    <w:p>
      <w:pPr>
        <w:pStyle w:val="Testo"/>
        <w:rPr>
          <w:sz w:val="18"/>
          <w:szCs w:val="18"/>
          <w:u w:val="none" w:color="FF0000"/>
        </w:rPr>
      </w:pPr>
      <w:r>
        <w:rPr>
          <w:sz w:val="18"/>
          <w:szCs w:val="18"/>
          <w:u w:val="none" w:color="FF0000"/>
        </w:rPr>
      </w:r>
    </w:p>
    <w:tbl>
      <w:tblPr>
        <w:tblW w:w="8364" w:type="dxa"/>
        <w:jc w:val="left"/>
        <w:tblInd w:w="638" w:type="dxa"/>
        <w:tblLayout w:type="fixed"/>
        <w:tblCellMar>
          <w:top w:w="0" w:type="dxa"/>
          <w:left w:w="70" w:type="dxa"/>
          <w:bottom w:w="0" w:type="dxa"/>
          <w:right w:w="70" w:type="dxa"/>
        </w:tblCellMar>
        <w:tblLook w:firstRow="0" w:noVBand="0" w:lastRow="0" w:firstColumn="0" w:lastColumn="0" w:noHBand="0" w:val="0000"/>
      </w:tblPr>
      <w:tblGrid>
        <w:gridCol w:w="6947"/>
        <w:gridCol w:w="1416"/>
      </w:tblGrid>
      <w:tr>
        <w:trPr/>
        <w:tc>
          <w:tcPr>
            <w:tcW w:w="6947" w:type="dxa"/>
            <w:tcBorders>
              <w:top w:val="single" w:sz="6" w:space="0" w:color="000000"/>
              <w:left w:val="single" w:sz="6" w:space="0" w:color="000000"/>
              <w:bottom w:val="single" w:sz="6" w:space="0" w:color="000000"/>
              <w:right w:val="single" w:sz="6" w:space="0" w:color="000000"/>
            </w:tcBorders>
          </w:tcPr>
          <w:p>
            <w:pPr>
              <w:pStyle w:val="Testo"/>
              <w:widowControl w:val="false"/>
              <w:rPr>
                <w:sz w:val="18"/>
                <w:szCs w:val="18"/>
                <w:u w:val="none" w:color="FF0000"/>
              </w:rPr>
            </w:pPr>
            <w:r>
              <w:rPr>
                <w:sz w:val="18"/>
                <w:szCs w:val="18"/>
                <w:u w:val="none" w:color="FF0000"/>
              </w:rPr>
              <w:t>C 0) Per ogni anno di servizio di ruolo prestato nella sede di attuale titolarità senza soluzione di continuità in aggiunta a quello previsto dalle lettere A), A1), B), B1), B2), B3) ………………………………………………………..</w:t>
            </w:r>
          </w:p>
          <w:p>
            <w:pPr>
              <w:pStyle w:val="Testo"/>
              <w:widowControl w:val="false"/>
              <w:rPr>
                <w:sz w:val="18"/>
                <w:szCs w:val="18"/>
                <w:u w:val="none" w:color="FF0000"/>
              </w:rPr>
            </w:pPr>
            <w:r>
              <w:rPr>
                <w:sz w:val="18"/>
                <w:szCs w:val="18"/>
                <w:u w:val="none" w:color="FF0000"/>
              </w:rPr>
            </w:r>
          </w:p>
        </w:tc>
        <w:tc>
          <w:tcPr>
            <w:tcW w:w="1416" w:type="dxa"/>
            <w:tcBorders>
              <w:top w:val="single" w:sz="6" w:space="0" w:color="000000"/>
              <w:left w:val="single" w:sz="6" w:space="0" w:color="000000"/>
              <w:bottom w:val="single" w:sz="6" w:space="0" w:color="000000"/>
              <w:right w:val="single" w:sz="6" w:space="0" w:color="000000"/>
            </w:tcBorders>
          </w:tcPr>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r>
          </w:p>
          <w:p>
            <w:pPr>
              <w:pStyle w:val="Testo"/>
              <w:widowControl w:val="false"/>
              <w:rPr>
                <w:sz w:val="18"/>
                <w:szCs w:val="18"/>
                <w:u w:val="none" w:color="FF0000"/>
              </w:rPr>
            </w:pPr>
            <w:r>
              <w:rPr>
                <w:sz w:val="18"/>
                <w:szCs w:val="18"/>
                <w:u w:val="none" w:color="FF0000"/>
              </w:rPr>
              <w:t xml:space="preserve">Punti 1 </w:t>
            </w:r>
          </w:p>
          <w:p>
            <w:pPr>
              <w:pStyle w:val="Testo"/>
              <w:widowControl w:val="false"/>
              <w:rPr>
                <w:sz w:val="18"/>
                <w:szCs w:val="18"/>
                <w:u w:val="none" w:color="FF0000"/>
              </w:rPr>
            </w:pPr>
            <w:r>
              <w:rPr>
                <w:sz w:val="18"/>
                <w:szCs w:val="18"/>
                <w:u w:val="none" w:color="FF0000"/>
              </w:rPr>
            </w:r>
          </w:p>
        </w:tc>
      </w:tr>
    </w:tbl>
    <w:p>
      <w:pPr>
        <w:pStyle w:val="Testo"/>
        <w:rPr>
          <w:sz w:val="18"/>
          <w:szCs w:val="18"/>
          <w:u w:val="none" w:color="FF0000"/>
        </w:rPr>
      </w:pPr>
      <w:r>
        <w:rPr>
          <w:sz w:val="18"/>
          <w:szCs w:val="18"/>
          <w:u w:val="none"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pPr>
        <w:pStyle w:val="Testo"/>
        <w:rPr>
          <w:sz w:val="18"/>
          <w:szCs w:val="18"/>
          <w:u w:val="none" w:color="FF0000"/>
        </w:rPr>
      </w:pPr>
      <w:r>
        <w:rPr>
          <w:sz w:val="18"/>
          <w:szCs w:val="18"/>
          <w:u w:val="none"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pPr>
        <w:pStyle w:val="Testo"/>
        <w:rPr>
          <w:sz w:val="18"/>
          <w:szCs w:val="18"/>
          <w:u w:val="none" w:color="FF0000"/>
        </w:rPr>
      </w:pPr>
      <w:r>
        <w:rPr>
          <w:sz w:val="18"/>
          <w:szCs w:val="18"/>
          <w:u w:val="none"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pPr>
        <w:pStyle w:val="Testo"/>
        <w:rPr>
          <w:sz w:val="18"/>
          <w:szCs w:val="18"/>
          <w:u w:val="none" w:color="FF0000"/>
        </w:rPr>
      </w:pPr>
      <w:r>
        <w:rPr>
          <w:sz w:val="18"/>
          <w:szCs w:val="18"/>
          <w:u w:val="none" w:color="FF0000"/>
        </w:rPr>
        <w:t>Il trasferimento dal sostegno a posto comune o viceversa interrompe la continuità di servizio nella scuola e nel comune.</w:t>
      </w:r>
    </w:p>
    <w:p>
      <w:pPr>
        <w:pStyle w:val="Testo"/>
        <w:rPr>
          <w:sz w:val="18"/>
          <w:szCs w:val="18"/>
          <w:u w:val="none" w:color="FF0000"/>
        </w:rPr>
      </w:pPr>
      <w:r>
        <w:rPr>
          <w:sz w:val="18"/>
          <w:szCs w:val="18"/>
          <w:u w:val="none" w:color="FF0000"/>
        </w:rPr>
        <w:t>Il punteggio non va attribuito ai docenti titolari di sede distrettuale (su posto per l’istruzione dell’età adulta).</w:t>
      </w:r>
    </w:p>
    <w:p>
      <w:pPr>
        <w:pStyle w:val="Testo"/>
        <w:rPr>
          <w:sz w:val="18"/>
          <w:szCs w:val="18"/>
          <w:u w:val="none" w:color="FF0000"/>
        </w:rPr>
      </w:pPr>
      <w:r>
        <w:rPr>
          <w:sz w:val="18"/>
          <w:szCs w:val="18"/>
          <w:u w:val="none" w:color="FF0000"/>
        </w:rPr>
        <w:t>Qualora il docente al termine dell’ottennio non sia rientrato nella scuola di precedente titolarità ma in altra scuola dello stesso comune, ha titolo al mantenimento del punteggio di cui alla lett. C 0) anche per tutti gli 8 anni dell’ottennio.</w:t>
      </w:r>
    </w:p>
    <w:p>
      <w:pPr>
        <w:pStyle w:val="Testo"/>
        <w:rPr>
          <w:sz w:val="18"/>
          <w:szCs w:val="18"/>
          <w:u w:val="none" w:color="FF0000"/>
        </w:rPr>
      </w:pPr>
      <w:r>
        <w:rPr>
          <w:sz w:val="18"/>
          <w:szCs w:val="18"/>
          <w:u w:val="none" w:color="FF0000"/>
        </w:rPr>
        <w:t>Non va valutato l'anno scolastico in corso al momento di presentazione della domanda.</w:t>
      </w:r>
    </w:p>
    <w:p>
      <w:pPr>
        <w:pStyle w:val="Testo"/>
        <w:rPr>
          <w:sz w:val="18"/>
          <w:szCs w:val="18"/>
          <w:u w:val="none" w:color="FF0000"/>
        </w:rPr>
      </w:pPr>
      <w:r>
        <w:rPr>
          <w:sz w:val="18"/>
          <w:szCs w:val="18"/>
          <w:u w:val="none" w:color="FF0000"/>
        </w:rPr>
        <w:t>Il punteggio di cui alla lettera C 0) non è cumulabile per lo stesso anno scolastico con quello previsto dalla lettera C).</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pPr>
        <w:pStyle w:val="Testo"/>
        <w:rPr>
          <w:sz w:val="18"/>
          <w:szCs w:val="18"/>
          <w:u w:val="none" w:color="FF0000"/>
        </w:rPr>
      </w:pPr>
      <w:r>
        <w:rPr>
          <w:sz w:val="18"/>
          <w:szCs w:val="18"/>
          <w:u w:val="none" w:color="FF0000"/>
        </w:rPr>
        <w:t>Ai fini della maturazione una tantum del punteggio è utile un triennio compreso nel periodo intercorrente tra le domande di mobilità per l’anno scolastico 2000-2001 e quelle per l’anno scolastico 2007-2008.</w:t>
      </w:r>
    </w:p>
    <w:p>
      <w:pPr>
        <w:pStyle w:val="Testo"/>
        <w:rPr>
          <w:sz w:val="18"/>
          <w:szCs w:val="18"/>
          <w:u w:val="none" w:color="FF0000"/>
        </w:rPr>
      </w:pPr>
      <w:r>
        <w:rPr>
          <w:sz w:val="18"/>
          <w:szCs w:val="18"/>
          <w:u w:val="none" w:color="FF0000"/>
        </w:rPr>
        <w:t>Con le domande di mobilità per l’anno scolastico 2007/2008 si è, infatti, concluso il periodo utile per l’acquisizione del punteggio aggiuntivo a seguito della maturazione del triennio.</w:t>
      </w:r>
    </w:p>
    <w:p>
      <w:pPr>
        <w:pStyle w:val="Testo"/>
        <w:rPr>
          <w:sz w:val="18"/>
          <w:szCs w:val="18"/>
          <w:u w:val="none" w:color="FF0000"/>
        </w:rPr>
      </w:pPr>
      <w:r>
        <w:rPr>
          <w:sz w:val="18"/>
          <w:szCs w:val="18"/>
          <w:u w:val="none"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pPr>
        <w:pStyle w:val="Testo"/>
        <w:rPr>
          <w:sz w:val="18"/>
          <w:szCs w:val="18"/>
          <w:u w:val="none" w:color="FF0000"/>
        </w:rPr>
      </w:pPr>
      <w:r>
        <w:rPr>
          <w:sz w:val="18"/>
          <w:szCs w:val="18"/>
          <w:u w:val="none" w:color="FF0000"/>
        </w:rPr>
        <w:t>Tale punteggio viene, inoltre, riconosciuto anche a coloro che, nel suddetto periodo, hanno presentato in ambito provinciale:</w:t>
      </w:r>
    </w:p>
    <w:p>
      <w:pPr>
        <w:pStyle w:val="Testo"/>
        <w:numPr>
          <w:ilvl w:val="1"/>
          <w:numId w:val="1"/>
        </w:numPr>
        <w:tabs>
          <w:tab w:val="clear" w:pos="720"/>
          <w:tab w:val="left" w:pos="900" w:leader="none"/>
        </w:tabs>
        <w:ind w:left="900" w:hanging="360"/>
        <w:rPr>
          <w:sz w:val="18"/>
          <w:szCs w:val="18"/>
          <w:u w:val="none" w:color="FF0000"/>
        </w:rPr>
      </w:pPr>
      <w:r>
        <w:rPr>
          <w:sz w:val="18"/>
          <w:szCs w:val="18"/>
          <w:u w:val="none" w:color="FF0000"/>
        </w:rPr>
        <w:t>domanda condizionata di trasferimento, in quanto individuati soprannumerari;</w:t>
      </w:r>
    </w:p>
    <w:p>
      <w:pPr>
        <w:pStyle w:val="Testo"/>
        <w:numPr>
          <w:ilvl w:val="1"/>
          <w:numId w:val="1"/>
        </w:numPr>
        <w:tabs>
          <w:tab w:val="clear" w:pos="720"/>
          <w:tab w:val="left" w:pos="900" w:leader="none"/>
        </w:tabs>
        <w:ind w:left="900" w:hanging="360"/>
        <w:rPr>
          <w:sz w:val="18"/>
          <w:szCs w:val="18"/>
          <w:u w:val="none" w:color="FF0000"/>
        </w:rPr>
      </w:pPr>
      <w:r>
        <w:rPr>
          <w:sz w:val="18"/>
          <w:szCs w:val="18"/>
          <w:u w:val="none" w:color="FF0000"/>
        </w:rPr>
        <w:t>domanda di trasferimento per la scuola primaria tra i posti comune e lingua straniera nell’organico dello stesso circolo di titolarità;</w:t>
      </w:r>
    </w:p>
    <w:p>
      <w:pPr>
        <w:pStyle w:val="Testo"/>
        <w:numPr>
          <w:ilvl w:val="1"/>
          <w:numId w:val="1"/>
        </w:numPr>
        <w:tabs>
          <w:tab w:val="clear" w:pos="720"/>
          <w:tab w:val="left" w:pos="900" w:leader="none"/>
        </w:tabs>
        <w:ind w:left="900" w:hanging="360"/>
        <w:rPr>
          <w:sz w:val="18"/>
          <w:szCs w:val="18"/>
          <w:u w:val="none" w:color="FF0000"/>
        </w:rPr>
      </w:pPr>
      <w:r>
        <w:rPr>
          <w:sz w:val="18"/>
          <w:szCs w:val="18"/>
          <w:u w:val="none" w:color="FF0000"/>
        </w:rPr>
        <w:t>domanda di rientro nella scuola di precedente titolarità, nel quinquennio di fruizione del diritto alla precedenza di cui ai punti II e IV dell’art. 7, comma 1 del CCNI.</w:t>
      </w:r>
    </w:p>
    <w:p>
      <w:pPr>
        <w:pStyle w:val="Testo"/>
        <w:ind w:left="540" w:hanging="0"/>
        <w:rPr>
          <w:sz w:val="18"/>
          <w:szCs w:val="18"/>
          <w:u w:val="none" w:color="FF0000"/>
        </w:rPr>
      </w:pPr>
      <w:r>
        <w:rPr>
          <w:sz w:val="18"/>
          <w:szCs w:val="18"/>
          <w:u w:val="none" w:color="FF0000"/>
        </w:rPr>
        <w:t>Tale punteggio, una volta acquisito, si perde esclusivamente nel caso in cui si ottenga, a seguito di domanda volontaria in ambito provinciale, il trasferimento, il passaggio o l’assegnazione provvisoria.</w:t>
      </w:r>
    </w:p>
    <w:p>
      <w:pPr>
        <w:pStyle w:val="Testo"/>
        <w:rPr>
          <w:sz w:val="18"/>
          <w:szCs w:val="18"/>
          <w:u w:val="none" w:color="FF0000"/>
        </w:rPr>
      </w:pPr>
      <w:r>
        <w:rPr>
          <w:sz w:val="18"/>
          <w:szCs w:val="18"/>
          <w:u w:val="none"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pPr>
        <w:pStyle w:val="Testo"/>
        <w:rPr>
          <w:sz w:val="18"/>
          <w:szCs w:val="18"/>
          <w:u w:val="none" w:color="FF0000"/>
        </w:rPr>
      </w:pPr>
      <w:r>
        <w:rPr>
          <w:sz w:val="18"/>
          <w:szCs w:val="18"/>
          <w:u w:val="none" w:color="FF0000"/>
        </w:rPr>
        <w:t>Analogamente non perde il riconoscimento del punteggio aggiuntivo il docente trasferito d’ufficio o a domanda condizionata che nel periodo di cui sopra non chiede il rientro nella scuola di precedente titolarità.</w:t>
      </w:r>
    </w:p>
    <w:p>
      <w:pPr>
        <w:pStyle w:val="Testo"/>
        <w:rPr>
          <w:sz w:val="18"/>
          <w:szCs w:val="18"/>
          <w:u w:val="none" w:color="FF0000"/>
        </w:rPr>
      </w:pPr>
      <w:r>
        <w:rPr>
          <w:sz w:val="18"/>
          <w:szCs w:val="18"/>
          <w:u w:val="none" w:color="FF0000"/>
        </w:rPr>
        <w:t>In ogni caso la sola presentazione della domanda di mobilità, anche in ambito provinciale, non determina la perdita del punteggio aggiuntivo una volta che lo stesso è stato acquisito.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(6) Il punteggio spetta per il comune di residenza dei familiari a condizione che essi, alla data di pubblicazione dell'ordinanza, vi risiedano effettivamente con iscrizione anagrafica da almeno tre mesi.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pPr>
        <w:pStyle w:val="Testo"/>
        <w:rPr>
          <w:sz w:val="18"/>
          <w:szCs w:val="18"/>
          <w:u w:val="none" w:color="FF0000"/>
        </w:rPr>
      </w:pPr>
      <w:r>
        <w:rPr>
          <w:sz w:val="18"/>
          <w:szCs w:val="18"/>
          <w:u w:val="none" w:color="FF0000"/>
        </w:rPr>
        <w:t>Le situazioni di cui al presente titolo non si valutano per i trasferimenti nell'ambito della stessa sede (per sede si intende “comune”).</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pPr>
        <w:pStyle w:val="Testo"/>
        <w:rPr>
          <w:sz w:val="18"/>
          <w:szCs w:val="18"/>
          <w:u w:val="none" w:color="FF0000"/>
        </w:rPr>
      </w:pPr>
      <w:r>
        <w:rPr>
          <w:sz w:val="18"/>
          <w:szCs w:val="18"/>
          <w:u w:val="none" w:color="FF0000"/>
        </w:rPr>
        <w:t xml:space="preserve">lettera B) e lettera C) valgono sempre; </w:t>
      </w:r>
    </w:p>
    <w:p>
      <w:pPr>
        <w:pStyle w:val="Testo"/>
        <w:rPr>
          <w:sz w:val="18"/>
          <w:szCs w:val="18"/>
          <w:u w:val="none" w:color="FF0000"/>
        </w:rPr>
      </w:pPr>
      <w:r>
        <w:rPr>
          <w:sz w:val="18"/>
          <w:szCs w:val="18"/>
          <w:u w:val="none"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 xml:space="preserve">Il punteggio così calcolato viene utilizzato anche nelle operazioni di trasferimento d’ufficio del soprannumerario. </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(8) Il punteggio va attribuito anche per i figli che compiono i sei anni o i diciotto tra il 1° gennaio e il 31 dicembre dell’anno in cui si effettua il trasferimento.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(9) La valutazione è attribuita nei seguenti casi: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a) figlio minorato, ovvero coniuge o genitore, ricoverati permanentemente in un istituto di cura;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b) figlio minorato, ovvero coniuge o genitore bisognosi di cure continuative presso un istituto di cura tali da comportare di necessità la residenza nella sede dello istituto medesimo.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(10) Si precisa che ai sensi della lettera B) si valuta un solo pubblico concorso.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 concorsi ordinari a posti di personale educativo sono da considerare di livello pari ai concorsi della scuola primaria.</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I concorsi a posti di personale ispettivo e dirigente scolastico sono da considerare di livello superiore rispetto ai concorsi a posti di insegnamento.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Sono ovviamente esclusi i concorsi riservati per il conseguimento dell’abilitazione o dell’idoneità all’insegnamento e la partecipazione a concorsi ordinari ai soli fini del conseguimento dell’abilitazione.</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Tale punteggio spetta anche per l’accesso a tutte le classi di concorso appartenenti allo stesso ambito disciplinare per il quale si è conseguita l’idoneità in un concorso ordinario per esami e titoli bandito in attuazione della legge 124/1999.</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pPr>
        <w:pStyle w:val="Testo"/>
        <w:rPr>
          <w:sz w:val="18"/>
          <w:szCs w:val="18"/>
          <w:u w:val="none" w:color="FF0000"/>
        </w:rPr>
      </w:pPr>
      <w:r>
        <w:rPr>
          <w:sz w:val="18"/>
          <w:szCs w:val="18"/>
          <w:u w:val="none"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pPr>
        <w:pStyle w:val="Testo"/>
        <w:rPr>
          <w:sz w:val="18"/>
          <w:szCs w:val="18"/>
          <w:u w:val="none" w:color="FF0000"/>
        </w:rPr>
      </w:pPr>
      <w:r>
        <w:rPr>
          <w:sz w:val="18"/>
          <w:szCs w:val="18"/>
          <w:u w:val="none" w:color="FF0000"/>
        </w:rPr>
        <w:t>Detti titoli non possono essere, infatti, considerati titoli generali aggiuntivi in quanto validi sia per l’accesso ai ruoli sia per il passaggio.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pPr>
        <w:pStyle w:val="Testo"/>
        <w:rPr>
          <w:sz w:val="18"/>
          <w:szCs w:val="18"/>
          <w:u w:val="none" w:color="FF0000"/>
        </w:rPr>
      </w:pPr>
      <w:r>
        <w:rPr>
          <w:sz w:val="18"/>
          <w:szCs w:val="18"/>
          <w:u w:val="none" w:color="FF0000"/>
        </w:rPr>
        <w:t>La laurea triennale o di I livello che consente l’accesso alla laurea specialistica o magistrale non dà diritto ad avvalersi di ulteriore punteggio rispetto a queste ultime.</w:t>
      </w:r>
    </w:p>
    <w:p>
      <w:pPr>
        <w:pStyle w:val="Testo"/>
        <w:rPr>
          <w:sz w:val="18"/>
          <w:szCs w:val="18"/>
          <w:u w:val="none" w:color="FF0000"/>
        </w:rPr>
      </w:pPr>
      <w:r>
        <w:rPr>
          <w:sz w:val="18"/>
          <w:szCs w:val="18"/>
          <w:u w:val="none"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pPr>
        <w:pStyle w:val="Normal"/>
        <w:ind w:left="600" w:hanging="0"/>
        <w:jc w:val="both"/>
        <w:rPr>
          <w:rFonts w:ascii="Times New Roman" w:hAnsi="Times New Roman"/>
          <w:sz w:val="18"/>
          <w:szCs w:val="18"/>
        </w:rPr>
      </w:pPr>
      <w:r>
        <w:rPr>
          <w:rFonts w:ascii="Times New Roman" w:hAnsi="Times New Roman"/>
          <w:sz w:val="18"/>
          <w:szCs w:val="18"/>
          <w:u w:val="none" w:color="FF0000"/>
        </w:rPr>
        <w:t>Il diploma di laurea in scienze della formazione primaria non si valuta in quanto è un titolo richiesto per l’accesso al ruolo di appartenenza. Pertanto</w:t>
      </w:r>
      <w:r>
        <w:rPr>
          <w:rFonts w:ascii="Times New Roman" w:hAnsi="Times New Roman"/>
          <w:iCs/>
          <w:sz w:val="18"/>
          <w:szCs w:val="18"/>
        </w:rPr>
        <w:t xml:space="preserve"> alla </w:t>
      </w:r>
      <w:r>
        <w:rPr>
          <w:rFonts w:ascii="Times New Roman" w:hAnsi="Times New Roman"/>
          <w:sz w:val="18"/>
          <w:szCs w:val="18"/>
        </w:rPr>
        <w:t xml:space="preserve">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indirizzo-infanzia,</w:t>
      </w:r>
      <w:r>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 xml:space="preserve">indirizzo-primaria, titolo </w:t>
      </w:r>
      <w:r>
        <w:rPr>
          <w:rFonts w:ascii="Times New Roman" w:hAnsi="Times New Roman"/>
          <w:sz w:val="18"/>
          <w:szCs w:val="18"/>
        </w:rPr>
        <w:t>non utile ai fini dell’accesso al ruolo della scuola</w:t>
      </w:r>
      <w:r>
        <w:rPr>
          <w:rFonts w:ascii="Times New Roman" w:hAnsi="Times New Roman"/>
          <w:bCs/>
          <w:sz w:val="18"/>
          <w:szCs w:val="18"/>
        </w:rPr>
        <w:t xml:space="preserve"> dell’infanzia, verrà riconosciuto il punteggio di n. 5 punti in quanto titolo</w:t>
      </w:r>
      <w:r>
        <w:rPr>
          <w:rFonts w:ascii="Times New Roman" w:hAnsi="Times New Roman"/>
          <w:sz w:val="18"/>
          <w:szCs w:val="18"/>
        </w:rPr>
        <w:t xml:space="preserve"> aggiuntivo a quello necessario per l’accesso al ruolo di appartenenza.</w:t>
      </w:r>
    </w:p>
    <w:p>
      <w:pPr>
        <w:pStyle w:val="Testo"/>
        <w:rPr>
          <w:sz w:val="18"/>
          <w:szCs w:val="18"/>
          <w:u w:val="none" w:color="FF0000"/>
        </w:rPr>
      </w:pPr>
      <w:r>
        <w:rPr>
          <w:sz w:val="18"/>
          <w:szCs w:val="18"/>
          <w:u w:val="none" w:color="FF0000"/>
        </w:rPr>
        <w:t>Il diploma di laurea in Didattica della musica non si valuta:</w:t>
      </w:r>
    </w:p>
    <w:p>
      <w:pPr>
        <w:pStyle w:val="Testo"/>
        <w:rPr>
          <w:sz w:val="18"/>
          <w:szCs w:val="18"/>
          <w:u w:val="none" w:color="FF0000"/>
        </w:rPr>
      </w:pPr>
      <w:r>
        <w:rPr>
          <w:sz w:val="18"/>
          <w:szCs w:val="18"/>
          <w:u w:val="none" w:color="FF0000"/>
        </w:rPr>
        <w:t>- ai docenti titolari delle classi di concorso A031 e A032 in quanto titolo richiesto per l’accesso al ruolo di appartenenza;</w:t>
      </w:r>
    </w:p>
    <w:p>
      <w:pPr>
        <w:pStyle w:val="Testo"/>
        <w:rPr>
          <w:sz w:val="18"/>
          <w:szCs w:val="18"/>
          <w:u w:val="none" w:color="FF0000"/>
        </w:rPr>
      </w:pPr>
      <w:r>
        <w:rPr>
          <w:sz w:val="18"/>
          <w:szCs w:val="18"/>
          <w:u w:val="none" w:color="FF0000"/>
        </w:rPr>
        <w:t>- ai docenti titolari della classe di concorso A077 qualora riconosciuto come titolo valido ope legis ai fini dell’accesso a tale classe di concorso (art. 1, comma 2 bis L. n. 333/2001; art. 2, comma 4 bis L. n. 143/2004; art. 1, comma 605 L. n. 296/2006).</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(13) Il punteggio può essere attribuito anche al personale diplomato.</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(14) I corsi tenuti a decorrere dall’anno accademico 2005/06 saranno valutati esclusivamente se di durata annuale, con 1500 ore complessive di impegno, con un riconoscimento di 60 CFU e con esame finale.</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(15) Limitatamente alla mobilità nell’ambito dell’insegnamento della religione cattolica sono considerati validi i titoli previsti dal D.P.R. 751/85 e specificati dal DM 15.7.87 e successive modificazioni ed integrazioni.</w:t>
      </w:r>
    </w:p>
    <w:p>
      <w:pPr>
        <w:pStyle w:val="Testo"/>
        <w:rPr>
          <w:sz w:val="18"/>
          <w:szCs w:val="18"/>
          <w:u w:val="none" w:color="FF0000"/>
        </w:rPr>
      </w:pPr>
      <w:r>
        <w:rPr>
          <w:sz w:val="18"/>
          <w:szCs w:val="18"/>
          <w:u w:val="none" w:color="FF0000"/>
        </w:rPr>
      </w:r>
    </w:p>
    <w:p>
      <w:pPr>
        <w:pStyle w:val="Testo"/>
        <w:rPr>
          <w:sz w:val="18"/>
          <w:szCs w:val="18"/>
          <w:u w:val="none" w:color="FF0000"/>
        </w:rPr>
      </w:pPr>
      <w:r>
        <w:rPr>
          <w:sz w:val="18"/>
          <w:szCs w:val="18"/>
          <w:u w:val="none" w:color="FF0000"/>
        </w:rPr>
        <w:t>(16) Il punteggio viene attribuito per il conseguimento di un solo titolo linguistico.</w:t>
      </w:r>
    </w:p>
    <w:p>
      <w:pPr>
        <w:pStyle w:val="Default"/>
        <w:spacing w:lineRule="atLeast" w:line="196"/>
        <w:ind w:left="5713" w:hanging="5712"/>
        <w:rPr>
          <w:rFonts w:ascii="Times New Roman" w:hAnsi="Times New Roman" w:cs="Times New Roman"/>
          <w:color w:val="auto"/>
          <w:sz w:val="18"/>
          <w:szCs w:val="18"/>
        </w:rPr>
      </w:pPr>
      <w:r>
        <w:rPr>
          <w:rFonts w:cs="Times New Roman" w:ascii="Times New Roman" w:hAnsi="Times New Roman"/>
          <w:color w:val="auto"/>
          <w:sz w:val="18"/>
          <w:szCs w:val="18"/>
        </w:rPr>
      </w:r>
    </w:p>
    <w:p>
      <w:pPr>
        <w:pStyle w:val="Default"/>
        <w:spacing w:lineRule="atLeast" w:line="196"/>
        <w:ind w:left="5713" w:hanging="5712"/>
        <w:rPr>
          <w:rFonts w:ascii="Times New Roman" w:hAnsi="Times New Roman" w:cs="Times New Roman"/>
          <w:color w:val="auto"/>
          <w:sz w:val="18"/>
          <w:szCs w:val="18"/>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43" w:right="788" w:gutter="0" w:header="284" w:top="709" w:footer="198" w:bottom="42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Times-New-Roman">
    <w:charset w:val="00"/>
    <w:family w:val="roman"/>
    <w:pitch w:val="variable"/>
  </w:font>
  <w:font w:name="Arial">
    <w:charset w:val="00"/>
    <w:family w:val="roman"/>
    <w:pitch w:val="variable"/>
  </w:font>
  <w:font w:name="Symbo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M6"/>
      <w:spacing w:before="0" w:after="240"/>
      <w:jc w:val="center"/>
      <w:rPr>
        <w:rFonts w:ascii="Times New Roman" w:hAnsi="Times New Roman"/>
        <w:b/>
        <w:b/>
        <w:i/>
        <w:i/>
        <w:color w:val="000000"/>
        <w:sz w:val="20"/>
        <w:szCs w:val="20"/>
      </w:rPr>
    </w:pPr>
    <w:r>
      <w:rPr>
        <w:rFonts w:ascii="Times New Roman" w:hAnsi="Times New Roman"/>
        <w:b/>
        <w:i/>
        <w:color w:val="000000"/>
        <w:sz w:val="20"/>
        <w:szCs w:val="20"/>
      </w:rPr>
      <w:t>SCHEDA PER L'INDIVIDUAZIONE DEI DOCENTI SOPRANNUMERARI PER L’A.S. 2023/24</w:t>
    </w:r>
    <w:bookmarkStart w:id="0" w:name="_GoBack"/>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M6"/>
      <w:spacing w:before="0" w:after="240"/>
      <w:jc w:val="center"/>
      <w:rPr>
        <w:rFonts w:ascii="Times New Roman" w:hAnsi="Times New Roman"/>
        <w:b/>
        <w:b/>
        <w:i/>
        <w:i/>
        <w:color w:val="000000"/>
        <w:sz w:val="20"/>
        <w:szCs w:val="20"/>
      </w:rPr>
    </w:pPr>
    <w:r>
      <w:rPr>
        <w:rFonts w:ascii="Times New Roman" w:hAnsi="Times New Roman"/>
        <w:b/>
        <w:i/>
        <w:color w:val="000000"/>
        <w:sz w:val="20"/>
        <w:szCs w:val="20"/>
      </w:rPr>
      <w:t>SCHEDA PER L'INDIVIDUAZIONE DEI DOCENTI SOPRANNUMERARI PER L’A.S. 2023/24</w:t>
    </w:r>
    <w:bookmarkStart w:id="1" w:name="_GoBack"/>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460"/>
        </w:tabs>
        <w:ind w:left="460" w:hanging="340"/>
      </w:pPr>
      <w:rPr>
        <w:rFonts w:ascii="Arial" w:hAnsi="Arial" w:cs="Arial" w:hint="default"/>
        <w:sz w:val="20"/>
        <w:i w:val="false"/>
        <w:b/>
        <w:szCs w:val="20"/>
      </w:rPr>
    </w:lvl>
    <w:lvl w:ilvl="1">
      <w:start w:val="3"/>
      <w:numFmt w:val="bullet"/>
      <w:lvlText w:val="-"/>
      <w:lvlJc w:val="left"/>
      <w:pPr>
        <w:tabs>
          <w:tab w:val="num" w:pos="1420"/>
        </w:tabs>
        <w:ind w:left="1420" w:hanging="340"/>
      </w:pPr>
      <w:rPr>
        <w:rFonts w:ascii="Arial" w:hAnsi="Arial" w:cs="Arial" w:hint="default"/>
        <w:sz w:val="20"/>
        <w:i w:val="false"/>
        <w:b/>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it-IT" w:eastAsia="it-IT" w:bidi="ar-SA"/>
    </w:rPr>
  </w:style>
  <w:style w:type="character" w:styleId="DefaultParagraphFont" w:default="1">
    <w:name w:val="Default Paragraph Font"/>
    <w:uiPriority w:val="1"/>
    <w:unhideWhenUsed/>
    <w:qFormat/>
    <w:rPr/>
  </w:style>
  <w:style w:type="character" w:styleId="IntestazioneCarattere" w:customStyle="1">
    <w:name w:val="Intestazione Carattere"/>
    <w:uiPriority w:val="99"/>
    <w:qFormat/>
    <w:locked/>
    <w:rsid w:val="0034586e"/>
    <w:rPr>
      <w:rFonts w:cs="Times New Roman"/>
    </w:rPr>
  </w:style>
  <w:style w:type="character" w:styleId="PidipaginaCarattere" w:customStyle="1">
    <w:name w:val="Piè di pagina Carattere"/>
    <w:uiPriority w:val="99"/>
    <w:qFormat/>
    <w:locked/>
    <w:rsid w:val="0034586e"/>
    <w:rPr>
      <w:rFonts w:cs="Times New Roman"/>
    </w:rPr>
  </w:style>
  <w:style w:type="character" w:styleId="CorpodeltestoCarattere" w:customStyle="1">
    <w:name w:val="Corpo del testo Carattere"/>
    <w:uiPriority w:val="99"/>
    <w:qFormat/>
    <w:locked/>
    <w:rsid w:val="0034586e"/>
    <w:rPr>
      <w:rFonts w:ascii="Times New Roman" w:hAnsi="Times New Roman" w:cs="Times New Roman"/>
      <w:sz w:val="18"/>
      <w:szCs w:val="18"/>
    </w:rPr>
  </w:style>
  <w:style w:type="character" w:styleId="CollegamentoInternet">
    <w:name w:val="Hyperlink"/>
    <w:rsid w:val="00f21474"/>
    <w:rPr>
      <w:color w:val="0000FF"/>
      <w:u w:val="single"/>
    </w:rPr>
  </w:style>
  <w:style w:type="character" w:styleId="TestofumettoCarattere" w:customStyle="1">
    <w:name w:val="Testo fumetto Carattere"/>
    <w:link w:val="BalloonText"/>
    <w:uiPriority w:val="99"/>
    <w:semiHidden/>
    <w:qFormat/>
    <w:rsid w:val="001a01ed"/>
    <w:rPr>
      <w:rFonts w:ascii="Segoe UI" w:hAnsi="Segoe UI" w:cs="Segoe UI"/>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99"/>
    <w:unhideWhenUsed/>
    <w:rsid w:val="0034586e"/>
    <w:pPr>
      <w:overflowPunct w:val="false"/>
      <w:spacing w:lineRule="auto" w:line="240" w:before="0" w:after="0"/>
      <w:ind w:right="567" w:hanging="0"/>
      <w:jc w:val="both"/>
    </w:pPr>
    <w:rPr>
      <w:rFonts w:ascii="Times New Roman" w:hAnsi="Times New Roman"/>
      <w:sz w:val="18"/>
      <w:szCs w:val="18"/>
      <w:lang w:val="x-none" w:eastAsia="x-none"/>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Default" w:customStyle="1">
    <w:name w:val="Default"/>
    <w:qFormat/>
    <w:pPr>
      <w:widowControl w:val="false"/>
      <w:suppressAutoHyphens w:val="true"/>
      <w:bidi w:val="0"/>
      <w:spacing w:before="0" w:after="0"/>
      <w:jc w:val="left"/>
    </w:pPr>
    <w:rPr>
      <w:rFonts w:ascii="Times-New-Roman" w:hAnsi="Times-New-Roman" w:eastAsia="Times New Roman" w:cs="Times-New-Roman"/>
      <w:color w:val="000000"/>
      <w:kern w:val="0"/>
      <w:sz w:val="24"/>
      <w:szCs w:val="24"/>
      <w:lang w:val="it-IT" w:eastAsia="it-IT" w:bidi="ar-SA"/>
    </w:rPr>
  </w:style>
  <w:style w:type="paragraph" w:styleId="CM1" w:customStyle="1">
    <w:name w:val="CM1"/>
    <w:basedOn w:val="Default"/>
    <w:next w:val="Default"/>
    <w:uiPriority w:val="99"/>
    <w:qFormat/>
    <w:pPr/>
    <w:rPr>
      <w:rFonts w:cs="Times New Roman"/>
      <w:color w:val="auto"/>
    </w:rPr>
  </w:style>
  <w:style w:type="paragraph" w:styleId="CM6" w:customStyle="1">
    <w:name w:val="CM6"/>
    <w:basedOn w:val="Default"/>
    <w:next w:val="Default"/>
    <w:uiPriority w:val="99"/>
    <w:qFormat/>
    <w:pPr>
      <w:spacing w:before="0" w:after="240"/>
    </w:pPr>
    <w:rPr>
      <w:rFonts w:cs="Times New Roman"/>
      <w:color w:val="auto"/>
    </w:rPr>
  </w:style>
  <w:style w:type="paragraph" w:styleId="CM2" w:customStyle="1">
    <w:name w:val="CM2"/>
    <w:basedOn w:val="Default"/>
    <w:next w:val="Default"/>
    <w:uiPriority w:val="99"/>
    <w:qFormat/>
    <w:pPr>
      <w:spacing w:lineRule="atLeast" w:line="233"/>
    </w:pPr>
    <w:rPr>
      <w:rFonts w:cs="Times New Roman"/>
      <w:color w:val="auto"/>
    </w:rPr>
  </w:style>
  <w:style w:type="paragraph" w:styleId="CM7" w:customStyle="1">
    <w:name w:val="CM7"/>
    <w:basedOn w:val="Default"/>
    <w:next w:val="Default"/>
    <w:uiPriority w:val="99"/>
    <w:qFormat/>
    <w:pPr>
      <w:spacing w:before="0" w:after="355"/>
    </w:pPr>
    <w:rPr>
      <w:rFonts w:cs="Times New Roman"/>
      <w:color w:val="auto"/>
    </w:rPr>
  </w:style>
  <w:style w:type="paragraph" w:styleId="CM8" w:customStyle="1">
    <w:name w:val="CM8"/>
    <w:basedOn w:val="Default"/>
    <w:next w:val="Default"/>
    <w:uiPriority w:val="99"/>
    <w:qFormat/>
    <w:pPr>
      <w:spacing w:before="0" w:after="145"/>
    </w:pPr>
    <w:rPr>
      <w:rFonts w:cs="Times New Roman"/>
      <w:color w:val="auto"/>
    </w:rPr>
  </w:style>
  <w:style w:type="paragraph" w:styleId="CM3" w:customStyle="1">
    <w:name w:val="CM3"/>
    <w:basedOn w:val="Default"/>
    <w:next w:val="Default"/>
    <w:uiPriority w:val="99"/>
    <w:qFormat/>
    <w:pPr>
      <w:spacing w:lineRule="atLeast" w:line="228"/>
    </w:pPr>
    <w:rPr>
      <w:rFonts w:cs="Times New Roman"/>
      <w:color w:val="auto"/>
    </w:rPr>
  </w:style>
  <w:style w:type="paragraph" w:styleId="CM5" w:customStyle="1">
    <w:name w:val="CM5"/>
    <w:basedOn w:val="Default"/>
    <w:next w:val="Default"/>
    <w:uiPriority w:val="99"/>
    <w:qFormat/>
    <w:pPr>
      <w:spacing w:lineRule="atLeast" w:line="228"/>
    </w:pPr>
    <w:rPr>
      <w:rFonts w:cs="Times New Roman"/>
      <w:color w:val="auto"/>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34586e"/>
    <w:pPr>
      <w:tabs>
        <w:tab w:val="clear" w:pos="720"/>
        <w:tab w:val="center" w:pos="4819" w:leader="none"/>
        <w:tab w:val="right" w:pos="9638" w:leader="none"/>
      </w:tabs>
    </w:pPr>
    <w:rPr>
      <w:sz w:val="20"/>
      <w:szCs w:val="20"/>
      <w:lang w:val="x-none" w:eastAsia="x-none"/>
    </w:rPr>
  </w:style>
  <w:style w:type="paragraph" w:styleId="Pidipagina">
    <w:name w:val="Footer"/>
    <w:basedOn w:val="Normal"/>
    <w:link w:val="PidipaginaCarattere"/>
    <w:uiPriority w:val="99"/>
    <w:unhideWhenUsed/>
    <w:rsid w:val="0034586e"/>
    <w:pPr>
      <w:tabs>
        <w:tab w:val="clear" w:pos="720"/>
        <w:tab w:val="center" w:pos="4819" w:leader="none"/>
        <w:tab w:val="right" w:pos="9638" w:leader="none"/>
      </w:tabs>
    </w:pPr>
    <w:rPr>
      <w:sz w:val="20"/>
      <w:szCs w:val="20"/>
      <w:lang w:val="x-none" w:eastAsia="x-none"/>
    </w:rPr>
  </w:style>
  <w:style w:type="paragraph" w:styleId="Testo" w:customStyle="1">
    <w:name w:val="testo"/>
    <w:basedOn w:val="Normal"/>
    <w:qFormat/>
    <w:rsid w:val="00f21474"/>
    <w:pPr>
      <w:spacing w:lineRule="auto" w:line="240" w:before="0" w:after="0"/>
      <w:ind w:left="567" w:hanging="0"/>
      <w:jc w:val="both"/>
    </w:pPr>
    <w:rPr>
      <w:rFonts w:ascii="Times New Roman" w:hAnsi="Times New Roman"/>
      <w:sz w:val="20"/>
      <w:szCs w:val="20"/>
    </w:rPr>
  </w:style>
  <w:style w:type="paragraph" w:styleId="BalloonText">
    <w:name w:val="Balloon Text"/>
    <w:basedOn w:val="Normal"/>
    <w:link w:val="TestofumettoCarattere"/>
    <w:uiPriority w:val="99"/>
    <w:semiHidden/>
    <w:unhideWhenUsed/>
    <w:qFormat/>
    <w:rsid w:val="001a01ed"/>
    <w:pPr>
      <w:spacing w:lineRule="auto" w:line="240" w:before="0" w:after="0"/>
    </w:pPr>
    <w:rPr>
      <w:rFonts w:ascii="Segoe UI" w:hAnsi="Segoe UI" w:cs="Segoe UI"/>
      <w:sz w:val="18"/>
      <w:szCs w:val="18"/>
    </w:rPr>
  </w:style>
  <w:style w:type="paragraph" w:styleId="Stile" w:customStyle="1">
    <w:name w:val="Stile"/>
    <w:qFormat/>
    <w:rsid w:val="00237b0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LibreOffice/7.4.2.3$Windows_X86_64 LibreOffice_project/382eef1f22670f7f4118c8c2dd222ec7ad009daf</Application>
  <AppVersion>15.0000</AppVersion>
  <Pages>8</Pages>
  <Words>7736</Words>
  <Characters>43265</Characters>
  <CharactersWithSpaces>54554</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2023-01-25T09:30:00Z</dcterms:created>
  <dc:creator>User</dc:creator>
  <dc:description/>
  <dc:language>it-IT</dc:language>
  <cp:lastModifiedBy/>
  <cp:lastPrinted>2019-02-07T12:49:00Z</cp:lastPrinted>
  <dcterms:modified xsi:type="dcterms:W3CDTF">2023-03-02T09:33:08Z</dcterms:modified>
  <cp:revision>3</cp:revision>
  <dc:subject/>
  <dc:title>Microsoft Word - schede-soprannumerari-DOCENTI-2014-15</dc:title>
</cp:coreProperties>
</file>

<file path=docProps/custom.xml><?xml version="1.0" encoding="utf-8"?>
<Properties xmlns="http://schemas.openxmlformats.org/officeDocument/2006/custom-properties" xmlns:vt="http://schemas.openxmlformats.org/officeDocument/2006/docPropsVTypes"/>
</file>